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6A2B5" w14:textId="2226044D" w:rsidR="008C696E" w:rsidRPr="00B130C9" w:rsidRDefault="008C696E" w:rsidP="00F20C9E">
      <w:pPr>
        <w:widowControl w:val="0"/>
        <w:rPr>
          <w:rFonts w:ascii="Times New Roman" w:eastAsiaTheme="minorHAnsi" w:hAnsi="Times New Roman" w:cs="Times New Roman"/>
          <w:b/>
          <w:sz w:val="28"/>
          <w:szCs w:val="28"/>
          <w:lang w:val="en-US" w:eastAsia="en-US"/>
        </w:rPr>
      </w:pPr>
      <w:r w:rsidRPr="008C696E">
        <w:rPr>
          <w:rFonts w:ascii="Times New Roman" w:eastAsiaTheme="minorHAnsi" w:hAnsi="Times New Roman" w:cs="Times New Roman"/>
          <w:b/>
          <w:sz w:val="28"/>
          <w:szCs w:val="28"/>
          <w:lang w:val="en-GB" w:eastAsia="en-US"/>
        </w:rPr>
        <w:t>Transform</w:t>
      </w:r>
      <w:r w:rsidR="000F2CB9">
        <w:rPr>
          <w:rFonts w:ascii="Times New Roman" w:eastAsiaTheme="minorHAnsi" w:hAnsi="Times New Roman" w:cs="Times New Roman"/>
          <w:b/>
          <w:sz w:val="28"/>
          <w:szCs w:val="28"/>
          <w:lang w:val="en-GB" w:eastAsia="en-US"/>
        </w:rPr>
        <w:t>ing</w:t>
      </w:r>
      <w:r w:rsidRPr="008C696E">
        <w:rPr>
          <w:rFonts w:ascii="Times New Roman" w:eastAsiaTheme="minorHAnsi" w:hAnsi="Times New Roman" w:cs="Times New Roman"/>
          <w:b/>
          <w:sz w:val="28"/>
          <w:szCs w:val="28"/>
          <w:lang w:val="en-GB" w:eastAsia="en-US"/>
        </w:rPr>
        <w:t xml:space="preserve"> the </w:t>
      </w:r>
      <w:r w:rsidR="001A5614" w:rsidRPr="008C696E">
        <w:rPr>
          <w:rFonts w:ascii="Times New Roman" w:eastAsiaTheme="minorHAnsi" w:hAnsi="Times New Roman" w:cs="Times New Roman"/>
          <w:b/>
          <w:sz w:val="28"/>
          <w:szCs w:val="28"/>
          <w:lang w:val="en-GB" w:eastAsia="en-US"/>
        </w:rPr>
        <w:t xml:space="preserve">Regulation </w:t>
      </w:r>
      <w:r w:rsidRPr="008C696E">
        <w:rPr>
          <w:rFonts w:ascii="Times New Roman" w:eastAsiaTheme="minorHAnsi" w:hAnsi="Times New Roman" w:cs="Times New Roman"/>
          <w:b/>
          <w:sz w:val="28"/>
          <w:szCs w:val="28"/>
          <w:lang w:val="en-GB" w:eastAsia="en-US"/>
        </w:rPr>
        <w:t xml:space="preserve">of Russian </w:t>
      </w:r>
      <w:r w:rsidR="001A5614" w:rsidRPr="008C696E">
        <w:rPr>
          <w:rFonts w:ascii="Times New Roman" w:eastAsiaTheme="minorHAnsi" w:hAnsi="Times New Roman" w:cs="Times New Roman"/>
          <w:b/>
          <w:sz w:val="28"/>
          <w:szCs w:val="28"/>
          <w:lang w:val="en-GB" w:eastAsia="en-US"/>
        </w:rPr>
        <w:t>Financial Institutions</w:t>
      </w:r>
      <w:r w:rsidRPr="008C696E">
        <w:rPr>
          <w:rFonts w:ascii="Times New Roman" w:eastAsiaTheme="minorHAnsi" w:hAnsi="Times New Roman" w:cs="Times New Roman"/>
          <w:b/>
          <w:sz w:val="28"/>
          <w:szCs w:val="28"/>
          <w:lang w:val="en-GB" w:eastAsia="en-US"/>
        </w:rPr>
        <w:t xml:space="preserve">: </w:t>
      </w:r>
      <w:r w:rsidR="000F2CB9">
        <w:rPr>
          <w:rFonts w:ascii="Times New Roman" w:eastAsiaTheme="minorHAnsi" w:hAnsi="Times New Roman" w:cs="Times New Roman"/>
          <w:b/>
          <w:sz w:val="28"/>
          <w:szCs w:val="28"/>
          <w:lang w:val="en-GB" w:eastAsia="en-US"/>
        </w:rPr>
        <w:t xml:space="preserve">a </w:t>
      </w:r>
      <w:r w:rsidR="001A5614">
        <w:rPr>
          <w:rFonts w:ascii="Times New Roman" w:eastAsiaTheme="minorHAnsi" w:hAnsi="Times New Roman" w:cs="Times New Roman"/>
          <w:b/>
          <w:sz w:val="28"/>
          <w:szCs w:val="28"/>
          <w:lang w:val="en-GB" w:eastAsia="en-US"/>
        </w:rPr>
        <w:t>Response</w:t>
      </w:r>
      <w:r w:rsidR="001A5614" w:rsidRPr="008C696E">
        <w:rPr>
          <w:rFonts w:ascii="Times New Roman" w:eastAsiaTheme="minorHAnsi" w:hAnsi="Times New Roman" w:cs="Times New Roman"/>
          <w:b/>
          <w:sz w:val="28"/>
          <w:szCs w:val="28"/>
          <w:lang w:val="en-GB" w:eastAsia="en-US"/>
        </w:rPr>
        <w:t xml:space="preserve"> </w:t>
      </w:r>
      <w:r w:rsidRPr="008C696E">
        <w:rPr>
          <w:rFonts w:ascii="Times New Roman" w:eastAsiaTheme="minorHAnsi" w:hAnsi="Times New Roman" w:cs="Times New Roman"/>
          <w:b/>
          <w:sz w:val="28"/>
          <w:szCs w:val="28"/>
          <w:lang w:val="en-GB" w:eastAsia="en-US"/>
        </w:rPr>
        <w:t xml:space="preserve">to </w:t>
      </w:r>
      <w:r w:rsidR="001A5614" w:rsidRPr="008C696E">
        <w:rPr>
          <w:rFonts w:ascii="Times New Roman" w:eastAsiaTheme="minorHAnsi" w:hAnsi="Times New Roman" w:cs="Times New Roman"/>
          <w:b/>
          <w:sz w:val="28"/>
          <w:szCs w:val="28"/>
          <w:lang w:val="en-GB" w:eastAsia="en-US"/>
        </w:rPr>
        <w:t>Mo</w:t>
      </w:r>
      <w:bookmarkStart w:id="0" w:name="_GoBack"/>
      <w:bookmarkEnd w:id="0"/>
      <w:r w:rsidR="001A5614" w:rsidRPr="008C696E">
        <w:rPr>
          <w:rFonts w:ascii="Times New Roman" w:eastAsiaTheme="minorHAnsi" w:hAnsi="Times New Roman" w:cs="Times New Roman"/>
          <w:b/>
          <w:sz w:val="28"/>
          <w:szCs w:val="28"/>
          <w:lang w:val="en-GB" w:eastAsia="en-US"/>
        </w:rPr>
        <w:t xml:space="preserve">dern Challenges </w:t>
      </w:r>
      <w:r w:rsidRPr="008C696E">
        <w:rPr>
          <w:rFonts w:ascii="Times New Roman" w:eastAsiaTheme="minorHAnsi" w:hAnsi="Times New Roman" w:cs="Times New Roman"/>
          <w:b/>
          <w:sz w:val="28"/>
          <w:szCs w:val="28"/>
          <w:lang w:val="en-GB" w:eastAsia="en-US"/>
        </w:rPr>
        <w:t xml:space="preserve">of </w:t>
      </w:r>
      <w:r w:rsidR="001A5614" w:rsidRPr="008C696E">
        <w:rPr>
          <w:rFonts w:ascii="Times New Roman" w:eastAsiaTheme="minorHAnsi" w:hAnsi="Times New Roman" w:cs="Times New Roman"/>
          <w:b/>
          <w:sz w:val="28"/>
          <w:szCs w:val="28"/>
          <w:lang w:val="en-GB" w:eastAsia="en-US"/>
        </w:rPr>
        <w:t xml:space="preserve">Money Laundering </w:t>
      </w:r>
      <w:r w:rsidRPr="008C696E">
        <w:rPr>
          <w:rFonts w:ascii="Times New Roman" w:eastAsiaTheme="minorHAnsi" w:hAnsi="Times New Roman" w:cs="Times New Roman"/>
          <w:b/>
          <w:sz w:val="28"/>
          <w:szCs w:val="28"/>
          <w:lang w:val="en-GB" w:eastAsia="en-US"/>
        </w:rPr>
        <w:t xml:space="preserve">and </w:t>
      </w:r>
      <w:r w:rsidR="001A5614" w:rsidRPr="008C696E">
        <w:rPr>
          <w:rFonts w:ascii="Times New Roman" w:eastAsiaTheme="minorHAnsi" w:hAnsi="Times New Roman" w:cs="Times New Roman"/>
          <w:b/>
          <w:sz w:val="28"/>
          <w:szCs w:val="28"/>
          <w:lang w:val="en-GB" w:eastAsia="en-US"/>
        </w:rPr>
        <w:t>Terrorist Financing</w:t>
      </w:r>
    </w:p>
    <w:p w14:paraId="18C4D2AD" w14:textId="77777777" w:rsidR="00CA4DF4" w:rsidRPr="00B130C9" w:rsidRDefault="00CA4DF4" w:rsidP="001A5614">
      <w:pPr>
        <w:widowControl w:val="0"/>
        <w:shd w:val="clear" w:color="auto" w:fill="FFFFFF"/>
        <w:ind w:firstLine="708"/>
        <w:jc w:val="both"/>
        <w:rPr>
          <w:rFonts w:ascii="Times New Roman" w:eastAsiaTheme="minorHAnsi" w:hAnsi="Times New Roman" w:cs="Times New Roman"/>
          <w:b/>
          <w:szCs w:val="28"/>
          <w:lang w:val="en-US" w:eastAsia="en-US"/>
        </w:rPr>
      </w:pPr>
    </w:p>
    <w:p w14:paraId="0658D3DF" w14:textId="6D1728C9" w:rsidR="00CA4DF4" w:rsidRPr="001A5614" w:rsidRDefault="00CA4DF4" w:rsidP="001A5614">
      <w:pPr>
        <w:widowControl w:val="0"/>
        <w:shd w:val="clear" w:color="auto" w:fill="FFFFFF"/>
        <w:spacing w:line="360" w:lineRule="auto"/>
        <w:ind w:firstLine="708"/>
        <w:jc w:val="both"/>
        <w:rPr>
          <w:rFonts w:ascii="Times New Roman" w:eastAsiaTheme="minorHAnsi" w:hAnsi="Times New Roman" w:cs="Times New Roman"/>
          <w:b/>
          <w:szCs w:val="28"/>
          <w:lang w:val="en-US" w:eastAsia="en-US"/>
        </w:rPr>
      </w:pPr>
      <w:r w:rsidRPr="00CA4DF4">
        <w:rPr>
          <w:rFonts w:ascii="Times New Roman" w:eastAsiaTheme="minorHAnsi" w:hAnsi="Times New Roman" w:cs="Times New Roman"/>
          <w:b/>
          <w:szCs w:val="28"/>
          <w:lang w:val="en-GB" w:eastAsia="en-US"/>
        </w:rPr>
        <w:t>Alifanova</w:t>
      </w:r>
      <w:r w:rsidR="001A5614" w:rsidRPr="001A5614">
        <w:rPr>
          <w:rFonts w:ascii="Times New Roman" w:eastAsiaTheme="minorHAnsi" w:hAnsi="Times New Roman" w:cs="Times New Roman"/>
          <w:b/>
          <w:szCs w:val="28"/>
          <w:lang w:val="en-US" w:eastAsia="en-US"/>
        </w:rPr>
        <w:t xml:space="preserve"> E.N.</w:t>
      </w:r>
      <w:r w:rsidR="001A5614" w:rsidRPr="001A5614">
        <w:rPr>
          <w:rFonts w:ascii="Times New Roman" w:eastAsiaTheme="minorHAnsi" w:hAnsi="Times New Roman" w:cs="Times New Roman"/>
          <w:b/>
          <w:szCs w:val="28"/>
          <w:vertAlign w:val="superscript"/>
          <w:lang w:val="en-US" w:eastAsia="en-US"/>
        </w:rPr>
        <w:t>1</w:t>
      </w:r>
      <w:r w:rsidRPr="00CA4DF4">
        <w:rPr>
          <w:rFonts w:ascii="Times New Roman" w:eastAsiaTheme="minorHAnsi" w:hAnsi="Times New Roman" w:cs="Times New Roman"/>
          <w:b/>
          <w:szCs w:val="28"/>
          <w:lang w:val="en-GB" w:eastAsia="en-US"/>
        </w:rPr>
        <w:t>, Evlakhova</w:t>
      </w:r>
      <w:r w:rsidR="001A5614" w:rsidRPr="001A5614">
        <w:rPr>
          <w:rFonts w:ascii="Times New Roman" w:eastAsiaTheme="minorHAnsi" w:hAnsi="Times New Roman" w:cs="Times New Roman"/>
          <w:b/>
          <w:szCs w:val="28"/>
          <w:lang w:val="en-US" w:eastAsia="en-US"/>
        </w:rPr>
        <w:t xml:space="preserve"> Y.S.</w:t>
      </w:r>
      <w:r w:rsidR="001A5614" w:rsidRPr="001A5614">
        <w:rPr>
          <w:rFonts w:ascii="Times New Roman" w:eastAsiaTheme="minorHAnsi" w:hAnsi="Times New Roman" w:cs="Times New Roman"/>
          <w:b/>
          <w:szCs w:val="28"/>
          <w:vertAlign w:val="superscript"/>
          <w:lang w:val="en-US" w:eastAsia="en-US"/>
        </w:rPr>
        <w:t>1</w:t>
      </w:r>
    </w:p>
    <w:p w14:paraId="71668DBF" w14:textId="2C849D2F" w:rsidR="00CA4DF4" w:rsidRPr="00CA4DF4" w:rsidRDefault="001A5614" w:rsidP="001A5614">
      <w:pPr>
        <w:widowControl w:val="0"/>
        <w:spacing w:line="360" w:lineRule="auto"/>
        <w:ind w:firstLine="708"/>
        <w:jc w:val="both"/>
        <w:rPr>
          <w:rFonts w:ascii="Times New Roman" w:eastAsiaTheme="minorHAnsi" w:hAnsi="Times New Roman" w:cs="Times New Roman"/>
          <w:i/>
          <w:szCs w:val="28"/>
          <w:lang w:val="en-US" w:eastAsia="en-US"/>
        </w:rPr>
      </w:pPr>
      <w:r w:rsidRPr="001A5614">
        <w:rPr>
          <w:rFonts w:ascii="Times New Roman" w:eastAsiaTheme="minorHAnsi" w:hAnsi="Times New Roman" w:cs="Times New Roman"/>
          <w:szCs w:val="28"/>
          <w:vertAlign w:val="superscript"/>
          <w:lang w:val="en-US" w:eastAsia="en-US"/>
        </w:rPr>
        <w:t>1</w:t>
      </w:r>
      <w:r w:rsidRPr="001A5614">
        <w:rPr>
          <w:rFonts w:ascii="Times New Roman" w:eastAsiaTheme="minorHAnsi" w:hAnsi="Times New Roman" w:cs="Times New Roman"/>
          <w:i/>
          <w:szCs w:val="28"/>
          <w:lang w:val="en-US" w:eastAsia="en-US"/>
        </w:rPr>
        <w:t xml:space="preserve"> </w:t>
      </w:r>
      <w:r w:rsidR="00CA4DF4" w:rsidRPr="00CA4DF4">
        <w:rPr>
          <w:rFonts w:ascii="Times New Roman" w:eastAsiaTheme="minorHAnsi" w:hAnsi="Times New Roman" w:cs="Times New Roman"/>
          <w:i/>
          <w:szCs w:val="28"/>
          <w:lang w:val="en-GB" w:eastAsia="en-US"/>
        </w:rPr>
        <w:t>Rostov State University of Economics, Rostov-on-Don, Russian Federation</w:t>
      </w:r>
    </w:p>
    <w:p w14:paraId="03A7E455" w14:textId="77777777" w:rsidR="00CA4DF4" w:rsidRPr="00CA4DF4" w:rsidRDefault="00CA4DF4" w:rsidP="001A5614">
      <w:pPr>
        <w:widowControl w:val="0"/>
        <w:spacing w:line="360" w:lineRule="auto"/>
        <w:ind w:firstLine="708"/>
        <w:jc w:val="both"/>
        <w:rPr>
          <w:rFonts w:ascii="Times New Roman" w:eastAsiaTheme="minorHAnsi" w:hAnsi="Times New Roman" w:cs="Times New Roman"/>
          <w:i/>
          <w:szCs w:val="28"/>
          <w:lang w:val="en-US" w:eastAsia="en-US"/>
        </w:rPr>
      </w:pPr>
    </w:p>
    <w:p w14:paraId="4BB7DC82" w14:textId="156A4D44" w:rsidR="00CA4DF4" w:rsidRPr="00B130C9" w:rsidRDefault="00CA4DF4" w:rsidP="001A5614">
      <w:pPr>
        <w:widowControl w:val="0"/>
        <w:spacing w:line="360" w:lineRule="auto"/>
        <w:ind w:firstLine="708"/>
        <w:jc w:val="both"/>
        <w:rPr>
          <w:rFonts w:ascii="Times New Roman" w:eastAsiaTheme="minorHAnsi" w:hAnsi="Times New Roman" w:cs="Times New Roman"/>
          <w:lang w:val="en-US" w:eastAsia="en-US"/>
        </w:rPr>
      </w:pPr>
      <w:r w:rsidRPr="00CA4DF4">
        <w:rPr>
          <w:rFonts w:ascii="Times New Roman" w:eastAsiaTheme="minorHAnsi" w:hAnsi="Times New Roman" w:cs="Times New Roman"/>
          <w:lang w:val="en-GB" w:eastAsia="en-US"/>
        </w:rPr>
        <w:t>Alifanova</w:t>
      </w:r>
      <w:r w:rsidR="001A5614" w:rsidRPr="001A5614">
        <w:rPr>
          <w:rFonts w:ascii="Times New Roman" w:eastAsiaTheme="minorHAnsi" w:hAnsi="Times New Roman" w:cs="Times New Roman"/>
          <w:lang w:val="en-US" w:eastAsia="en-US"/>
        </w:rPr>
        <w:t xml:space="preserve"> E.N.</w:t>
      </w:r>
      <w:r w:rsidRPr="00CA4DF4">
        <w:rPr>
          <w:rFonts w:ascii="Times New Roman" w:eastAsiaTheme="minorHAnsi" w:hAnsi="Times New Roman" w:cs="Times New Roman"/>
          <w:lang w:val="en-US" w:eastAsia="en-US"/>
        </w:rPr>
        <w:t>:</w:t>
      </w:r>
      <w:r w:rsidRPr="00B130C9">
        <w:rPr>
          <w:rFonts w:ascii="Times New Roman" w:eastAsiaTheme="minorHAnsi" w:hAnsi="Times New Roman" w:cs="Times New Roman"/>
          <w:lang w:val="en-US" w:eastAsia="en-US"/>
        </w:rPr>
        <w:t xml:space="preserve"> </w:t>
      </w:r>
      <w:r w:rsidRPr="00CA4DF4">
        <w:rPr>
          <w:rFonts w:ascii="Times New Roman" w:hAnsi="Times New Roman" w:cs="Times New Roman"/>
          <w:shd w:val="clear" w:color="auto" w:fill="FFFFFF"/>
          <w:lang w:val="en-US"/>
        </w:rPr>
        <w:t>ORCiD</w:t>
      </w:r>
      <w:r w:rsidR="00B130C9" w:rsidRPr="00B130C9">
        <w:rPr>
          <w:rFonts w:ascii="Times New Roman" w:hAnsi="Times New Roman" w:cs="Times New Roman"/>
          <w:shd w:val="clear" w:color="auto" w:fill="FFFFFF"/>
          <w:lang w:val="en-US"/>
        </w:rPr>
        <w:t xml:space="preserve"> </w:t>
      </w:r>
      <w:r w:rsidR="00B130C9" w:rsidRPr="000F2CB9">
        <w:rPr>
          <w:rFonts w:ascii="Times New Roman" w:hAnsi="Times New Roman" w:cs="Times New Roman"/>
          <w:szCs w:val="18"/>
          <w:shd w:val="clear" w:color="auto" w:fill="FFFFFF"/>
          <w:lang w:val="en-US"/>
        </w:rPr>
        <w:t>0000-0003-3220-1344;</w:t>
      </w:r>
    </w:p>
    <w:p w14:paraId="7EECB71E" w14:textId="72A85ACA" w:rsidR="008C696E" w:rsidRPr="00CA4DF4" w:rsidRDefault="00CA4DF4" w:rsidP="001A5614">
      <w:pPr>
        <w:widowControl w:val="0"/>
        <w:spacing w:line="360" w:lineRule="auto"/>
        <w:ind w:firstLine="708"/>
        <w:jc w:val="both"/>
        <w:rPr>
          <w:rFonts w:ascii="Times New Roman" w:eastAsiaTheme="minorHAnsi" w:hAnsi="Times New Roman" w:cs="Times New Roman"/>
          <w:lang w:val="en-US" w:eastAsia="en-US"/>
        </w:rPr>
      </w:pPr>
      <w:r w:rsidRPr="00CA4DF4">
        <w:rPr>
          <w:rFonts w:ascii="Times New Roman" w:eastAsiaTheme="minorHAnsi" w:hAnsi="Times New Roman" w:cs="Times New Roman"/>
          <w:lang w:val="en-GB" w:eastAsia="en-US"/>
        </w:rPr>
        <w:t>Evlakhova</w:t>
      </w:r>
      <w:r w:rsidR="001A5614" w:rsidRPr="001A5614">
        <w:rPr>
          <w:rFonts w:ascii="Times New Roman" w:eastAsiaTheme="minorHAnsi" w:hAnsi="Times New Roman" w:cs="Times New Roman"/>
          <w:lang w:val="en-US" w:eastAsia="en-US"/>
        </w:rPr>
        <w:t xml:space="preserve"> Y.S.</w:t>
      </w:r>
      <w:r w:rsidRPr="00CA4DF4">
        <w:rPr>
          <w:rFonts w:ascii="Times New Roman" w:eastAsiaTheme="minorHAnsi" w:hAnsi="Times New Roman" w:cs="Times New Roman"/>
          <w:lang w:val="en-US" w:eastAsia="en-US"/>
        </w:rPr>
        <w:t xml:space="preserve">: </w:t>
      </w:r>
      <w:r w:rsidRPr="00CA4DF4">
        <w:rPr>
          <w:rFonts w:ascii="Times New Roman" w:hAnsi="Times New Roman" w:cs="Times New Roman"/>
          <w:shd w:val="clear" w:color="auto" w:fill="FFFFFF"/>
          <w:lang w:val="en-US"/>
        </w:rPr>
        <w:t xml:space="preserve">ORCiD </w:t>
      </w:r>
      <w:r w:rsidRPr="00CA4DF4">
        <w:rPr>
          <w:rFonts w:ascii="Times New Roman" w:eastAsiaTheme="minorHAnsi" w:hAnsi="Times New Roman" w:cs="Times New Roman"/>
          <w:lang w:val="en-GB" w:eastAsia="en-US"/>
        </w:rPr>
        <w:t>0000-0002-2561-6165</w:t>
      </w:r>
      <w:r w:rsidRPr="00CA4DF4">
        <w:rPr>
          <w:rFonts w:ascii="Times New Roman" w:eastAsiaTheme="minorHAnsi" w:hAnsi="Times New Roman" w:cs="Times New Roman"/>
          <w:lang w:val="en-US" w:eastAsia="en-US"/>
        </w:rPr>
        <w:t xml:space="preserve">; </w:t>
      </w:r>
      <w:hyperlink r:id="rId4" w:tgtFrame="_blank" w:history="1">
        <w:r w:rsidRPr="00CA4DF4">
          <w:rPr>
            <w:rFonts w:ascii="Times New Roman" w:eastAsiaTheme="minorHAnsi" w:hAnsi="Times New Roman" w:cs="Times New Roman"/>
            <w:lang w:val="en-GB" w:eastAsia="en-US"/>
          </w:rPr>
          <w:t>evlahova@yandex.ru</w:t>
        </w:r>
      </w:hyperlink>
    </w:p>
    <w:p w14:paraId="6DD7EB80" w14:textId="77777777" w:rsidR="00CA4DF4" w:rsidRPr="00B130C9" w:rsidRDefault="00CA4DF4" w:rsidP="001A5614">
      <w:pPr>
        <w:widowControl w:val="0"/>
        <w:spacing w:line="360" w:lineRule="auto"/>
        <w:ind w:firstLine="708"/>
        <w:jc w:val="both"/>
        <w:rPr>
          <w:rFonts w:ascii="Times New Roman" w:eastAsiaTheme="minorHAnsi" w:hAnsi="Times New Roman" w:cs="Times New Roman"/>
          <w:b/>
          <w:sz w:val="28"/>
          <w:szCs w:val="28"/>
          <w:lang w:val="en-US" w:eastAsia="en-US"/>
        </w:rPr>
      </w:pPr>
    </w:p>
    <w:p w14:paraId="5A39F108" w14:textId="0BA9A595" w:rsidR="0001519F" w:rsidRPr="00CA4DF4" w:rsidRDefault="00CA4DF4" w:rsidP="001A5614">
      <w:pPr>
        <w:widowControl w:val="0"/>
        <w:ind w:left="708"/>
        <w:jc w:val="both"/>
        <w:rPr>
          <w:rFonts w:ascii="Times New Roman" w:eastAsiaTheme="minorHAnsi" w:hAnsi="Times New Roman" w:cs="Times New Roman"/>
          <w:lang w:val="en-GB" w:eastAsia="en-US"/>
        </w:rPr>
      </w:pPr>
      <w:r w:rsidRPr="00CA4DF4">
        <w:rPr>
          <w:rFonts w:ascii="Times New Roman" w:hAnsi="Times New Roman" w:cs="Times New Roman"/>
          <w:b/>
          <w:lang w:val="en-US"/>
        </w:rPr>
        <w:t xml:space="preserve">Abstract: </w:t>
      </w:r>
      <w:r w:rsidR="007145DB" w:rsidRPr="007145DB">
        <w:rPr>
          <w:rFonts w:ascii="Times New Roman" w:hAnsi="Times New Roman" w:cs="Times New Roman"/>
          <w:bCs/>
          <w:lang w:val="en-US"/>
        </w:rPr>
        <w:t>The paper reveals t</w:t>
      </w:r>
      <w:r w:rsidR="008C696E" w:rsidRPr="007145DB">
        <w:rPr>
          <w:rFonts w:ascii="Times New Roman" w:eastAsiaTheme="minorHAnsi" w:hAnsi="Times New Roman" w:cs="Times New Roman"/>
          <w:bCs/>
          <w:lang w:val="en-GB" w:eastAsia="en-US"/>
        </w:rPr>
        <w:t>he</w:t>
      </w:r>
      <w:r w:rsidR="008C696E" w:rsidRPr="00CA4DF4">
        <w:rPr>
          <w:rFonts w:ascii="Times New Roman" w:eastAsiaTheme="minorHAnsi" w:hAnsi="Times New Roman" w:cs="Times New Roman"/>
          <w:lang w:val="en-GB" w:eastAsia="en-US"/>
        </w:rPr>
        <w:t xml:space="preserve"> approach to the regulation of Russian financial institutions, </w:t>
      </w:r>
      <w:r w:rsidR="007145DB">
        <w:rPr>
          <w:rFonts w:ascii="Times New Roman" w:eastAsiaTheme="minorHAnsi" w:hAnsi="Times New Roman" w:cs="Times New Roman"/>
          <w:lang w:val="en-GB" w:eastAsia="en-US"/>
        </w:rPr>
        <w:t xml:space="preserve">which is </w:t>
      </w:r>
      <w:r w:rsidR="008C696E" w:rsidRPr="00CA4DF4">
        <w:rPr>
          <w:rFonts w:ascii="Times New Roman" w:eastAsiaTheme="minorHAnsi" w:hAnsi="Times New Roman" w:cs="Times New Roman"/>
          <w:lang w:val="en-GB" w:eastAsia="en-US"/>
        </w:rPr>
        <w:t xml:space="preserve">aimed at identifying their vulnerabilities to risks and building risk profiles for a set of interrelated risks. </w:t>
      </w:r>
      <w:r w:rsidR="007145DB">
        <w:rPr>
          <w:rFonts w:ascii="Times New Roman" w:eastAsiaTheme="minorHAnsi" w:hAnsi="Times New Roman" w:cs="Times New Roman"/>
          <w:lang w:val="en-GB" w:eastAsia="en-US"/>
        </w:rPr>
        <w:t>In the framework</w:t>
      </w:r>
      <w:r w:rsidR="008C696E" w:rsidRPr="00CA4DF4">
        <w:rPr>
          <w:rFonts w:ascii="Times New Roman" w:eastAsiaTheme="minorHAnsi" w:hAnsi="Times New Roman" w:cs="Times New Roman"/>
          <w:lang w:val="en-GB" w:eastAsia="en-US"/>
        </w:rPr>
        <w:t xml:space="preserve"> of this approach, the authors outline the concept of the relationship between the vulnerabilities of financial institutions and households to the risks of money laundering and terrorist financing, as well as a methodology for identifying the vulnerabilities of systemically important banks to these risks. As a result of the application of this methodology, three types of risk profiles of Russian banks were identified</w:t>
      </w:r>
      <w:r w:rsidR="007145DB">
        <w:rPr>
          <w:rFonts w:ascii="Times New Roman" w:eastAsiaTheme="minorHAnsi" w:hAnsi="Times New Roman" w:cs="Times New Roman"/>
          <w:lang w:val="en-GB" w:eastAsia="en-US"/>
        </w:rPr>
        <w:t>,</w:t>
      </w:r>
      <w:r w:rsidR="008C696E" w:rsidRPr="00CA4DF4">
        <w:rPr>
          <w:rFonts w:ascii="Times New Roman" w:eastAsiaTheme="minorHAnsi" w:hAnsi="Times New Roman" w:cs="Times New Roman"/>
          <w:lang w:val="en-GB" w:eastAsia="en-US"/>
        </w:rPr>
        <w:t xml:space="preserve"> their visualization </w:t>
      </w:r>
      <w:r w:rsidR="007145DB">
        <w:rPr>
          <w:rFonts w:ascii="Times New Roman" w:eastAsiaTheme="minorHAnsi" w:hAnsi="Times New Roman" w:cs="Times New Roman"/>
          <w:lang w:val="en-GB" w:eastAsia="en-US"/>
        </w:rPr>
        <w:t xml:space="preserve">was presented, </w:t>
      </w:r>
      <w:r w:rsidR="008C696E" w:rsidRPr="00CA4DF4">
        <w:rPr>
          <w:rFonts w:ascii="Times New Roman" w:eastAsiaTheme="minorHAnsi" w:hAnsi="Times New Roman" w:cs="Times New Roman"/>
          <w:lang w:val="en-GB" w:eastAsia="en-US"/>
        </w:rPr>
        <w:t xml:space="preserve">and </w:t>
      </w:r>
      <w:r w:rsidR="007145DB">
        <w:rPr>
          <w:rFonts w:ascii="Times New Roman" w:eastAsiaTheme="minorHAnsi" w:hAnsi="Times New Roman" w:cs="Times New Roman"/>
          <w:lang w:val="en-GB" w:eastAsia="en-US"/>
        </w:rPr>
        <w:t xml:space="preserve">the </w:t>
      </w:r>
      <w:r w:rsidR="008C696E" w:rsidRPr="00CA4DF4">
        <w:rPr>
          <w:rFonts w:ascii="Times New Roman" w:eastAsiaTheme="minorHAnsi" w:hAnsi="Times New Roman" w:cs="Times New Roman"/>
          <w:lang w:val="en-GB" w:eastAsia="en-US"/>
        </w:rPr>
        <w:t>corresponding vulnerability zones</w:t>
      </w:r>
      <w:r w:rsidR="007145DB">
        <w:rPr>
          <w:rFonts w:ascii="Times New Roman" w:eastAsiaTheme="minorHAnsi" w:hAnsi="Times New Roman" w:cs="Times New Roman"/>
          <w:lang w:val="en-GB" w:eastAsia="en-US"/>
        </w:rPr>
        <w:t xml:space="preserve"> were specified</w:t>
      </w:r>
      <w:r w:rsidR="008C696E" w:rsidRPr="00CA4DF4">
        <w:rPr>
          <w:rFonts w:ascii="Times New Roman" w:eastAsiaTheme="minorHAnsi" w:hAnsi="Times New Roman" w:cs="Times New Roman"/>
          <w:lang w:val="en-GB" w:eastAsia="en-US"/>
        </w:rPr>
        <w:t>. The authors formulated proposals for the mega-regulator of the Russian financial market and for systemically important Russian banks based on the regulation of financial institutions aimed at reducin</w:t>
      </w:r>
      <w:r w:rsidR="0001519F" w:rsidRPr="00CA4DF4">
        <w:rPr>
          <w:rFonts w:ascii="Times New Roman" w:eastAsiaTheme="minorHAnsi" w:hAnsi="Times New Roman" w:cs="Times New Roman"/>
          <w:lang w:val="en-GB" w:eastAsia="en-US"/>
        </w:rPr>
        <w:t>g their vulnerability to risks.</w:t>
      </w:r>
    </w:p>
    <w:p w14:paraId="7BE0B8E9" w14:textId="77777777" w:rsidR="0001519F" w:rsidRPr="00CA4DF4" w:rsidRDefault="0001519F" w:rsidP="001A5614">
      <w:pPr>
        <w:widowControl w:val="0"/>
        <w:ind w:firstLine="708"/>
        <w:jc w:val="both"/>
        <w:rPr>
          <w:rFonts w:ascii="Times New Roman" w:eastAsiaTheme="minorHAnsi" w:hAnsi="Times New Roman" w:cs="Times New Roman"/>
          <w:lang w:val="en-GB" w:eastAsia="en-US"/>
        </w:rPr>
      </w:pPr>
    </w:p>
    <w:p w14:paraId="7722D042" w14:textId="77777777" w:rsidR="0001519F" w:rsidRPr="00CA4DF4" w:rsidRDefault="008C696E" w:rsidP="001A5614">
      <w:pPr>
        <w:widowControl w:val="0"/>
        <w:ind w:left="708"/>
        <w:jc w:val="both"/>
        <w:rPr>
          <w:rFonts w:ascii="Times New Roman" w:eastAsiaTheme="minorHAnsi" w:hAnsi="Times New Roman" w:cs="Times New Roman"/>
          <w:lang w:val="en-GB" w:eastAsia="en-US"/>
        </w:rPr>
      </w:pPr>
      <w:r w:rsidRPr="00CA4DF4">
        <w:rPr>
          <w:rFonts w:ascii="Times New Roman" w:eastAsiaTheme="minorHAnsi" w:hAnsi="Times New Roman" w:cs="Times New Roman"/>
          <w:b/>
          <w:lang w:val="en-GB" w:eastAsia="en-US"/>
        </w:rPr>
        <w:t>Keywords:</w:t>
      </w:r>
      <w:r w:rsidRPr="00CA4DF4">
        <w:rPr>
          <w:rFonts w:ascii="Times New Roman" w:eastAsiaTheme="minorHAnsi" w:hAnsi="Times New Roman" w:cs="Times New Roman"/>
          <w:lang w:val="en-GB" w:eastAsia="en-US"/>
        </w:rPr>
        <w:t xml:space="preserve"> vulnerabilities of financial institutions, money laundering and terrorist financing risks, risk profiles.</w:t>
      </w:r>
    </w:p>
    <w:p w14:paraId="4222887F" w14:textId="77777777" w:rsidR="0001519F" w:rsidRPr="00CA4DF4" w:rsidRDefault="008C696E" w:rsidP="001A5614">
      <w:pPr>
        <w:widowControl w:val="0"/>
        <w:spacing w:before="240" w:line="360" w:lineRule="auto"/>
        <w:ind w:firstLine="708"/>
        <w:jc w:val="both"/>
        <w:rPr>
          <w:rFonts w:ascii="Times New Roman" w:eastAsiaTheme="minorHAnsi" w:hAnsi="Times New Roman" w:cs="Times New Roman"/>
          <w:b/>
          <w:sz w:val="28"/>
          <w:szCs w:val="28"/>
          <w:lang w:val="en-GB" w:eastAsia="en-US"/>
        </w:rPr>
      </w:pPr>
      <w:r w:rsidRPr="00CA4DF4">
        <w:rPr>
          <w:rFonts w:ascii="Times New Roman" w:eastAsiaTheme="minorHAnsi" w:hAnsi="Times New Roman" w:cs="Times New Roman"/>
          <w:b/>
          <w:sz w:val="28"/>
          <w:szCs w:val="28"/>
          <w:lang w:val="en-GB" w:eastAsia="en-US"/>
        </w:rPr>
        <w:t>Introduction</w:t>
      </w:r>
    </w:p>
    <w:p w14:paraId="41DB59C9" w14:textId="0E072B7C" w:rsidR="0001519F"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Transformation of the system of regulati</w:t>
      </w:r>
      <w:r w:rsidR="00712AA5">
        <w:rPr>
          <w:rFonts w:ascii="Times New Roman" w:eastAsiaTheme="minorHAnsi" w:hAnsi="Times New Roman" w:cs="Times New Roman"/>
          <w:sz w:val="28"/>
          <w:szCs w:val="28"/>
          <w:lang w:val="en-GB" w:eastAsia="en-US"/>
        </w:rPr>
        <w:t>ng</w:t>
      </w:r>
      <w:r w:rsidRPr="008C696E">
        <w:rPr>
          <w:rFonts w:ascii="Times New Roman" w:eastAsiaTheme="minorHAnsi" w:hAnsi="Times New Roman" w:cs="Times New Roman"/>
          <w:sz w:val="28"/>
          <w:szCs w:val="28"/>
          <w:lang w:val="en-GB" w:eastAsia="en-US"/>
        </w:rPr>
        <w:t xml:space="preserve"> Russian financial institutions </w:t>
      </w:r>
      <w:r w:rsidR="00712AA5">
        <w:rPr>
          <w:rFonts w:ascii="Times New Roman" w:eastAsiaTheme="minorHAnsi" w:hAnsi="Times New Roman" w:cs="Times New Roman"/>
          <w:sz w:val="28"/>
          <w:szCs w:val="28"/>
          <w:lang w:val="en-GB" w:eastAsia="en-US"/>
        </w:rPr>
        <w:t>is taking place</w:t>
      </w:r>
      <w:r w:rsidRPr="008C696E">
        <w:rPr>
          <w:rFonts w:ascii="Times New Roman" w:eastAsiaTheme="minorHAnsi" w:hAnsi="Times New Roman" w:cs="Times New Roman"/>
          <w:sz w:val="28"/>
          <w:szCs w:val="28"/>
          <w:lang w:val="en-GB" w:eastAsia="en-US"/>
        </w:rPr>
        <w:t xml:space="preserve"> in response to modern challenges and threats, caused by both the unsustainable development of the global financial market and the active dissemination of new financial technologies. </w:t>
      </w:r>
      <w:r w:rsidR="00D0084E">
        <w:rPr>
          <w:rFonts w:ascii="Times New Roman" w:eastAsiaTheme="minorHAnsi" w:hAnsi="Times New Roman" w:cs="Times New Roman"/>
          <w:sz w:val="28"/>
          <w:szCs w:val="28"/>
          <w:lang w:val="en-GB" w:eastAsia="en-US"/>
        </w:rPr>
        <w:t xml:space="preserve">It is possible to single out the following </w:t>
      </w:r>
      <w:r w:rsidRPr="008C696E">
        <w:rPr>
          <w:rFonts w:ascii="Times New Roman" w:eastAsiaTheme="minorHAnsi" w:hAnsi="Times New Roman" w:cs="Times New Roman"/>
          <w:sz w:val="28"/>
          <w:szCs w:val="28"/>
          <w:lang w:val="en-GB" w:eastAsia="en-US"/>
        </w:rPr>
        <w:t xml:space="preserve">directions </w:t>
      </w:r>
      <w:r w:rsidR="00265795">
        <w:rPr>
          <w:rFonts w:ascii="Times New Roman" w:eastAsiaTheme="minorHAnsi" w:hAnsi="Times New Roman" w:cs="Times New Roman"/>
          <w:sz w:val="28"/>
          <w:szCs w:val="28"/>
          <w:lang w:val="en-GB" w:eastAsia="en-US"/>
        </w:rPr>
        <w:t>in</w:t>
      </w:r>
      <w:r w:rsidRPr="008C696E">
        <w:rPr>
          <w:rFonts w:ascii="Times New Roman" w:eastAsiaTheme="minorHAnsi" w:hAnsi="Times New Roman" w:cs="Times New Roman"/>
          <w:sz w:val="28"/>
          <w:szCs w:val="28"/>
          <w:lang w:val="en-GB" w:eastAsia="en-US"/>
        </w:rPr>
        <w:t xml:space="preserve"> regulatory transformation:</w:t>
      </w:r>
    </w:p>
    <w:p w14:paraId="17105235" w14:textId="357C2AE9" w:rsidR="0001519F"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1) </w:t>
      </w:r>
      <w:r w:rsidR="00D0084E">
        <w:rPr>
          <w:rFonts w:ascii="Times New Roman" w:eastAsiaTheme="minorHAnsi" w:hAnsi="Times New Roman" w:cs="Times New Roman"/>
          <w:sz w:val="28"/>
          <w:szCs w:val="28"/>
          <w:lang w:val="en-GB" w:eastAsia="en-US"/>
        </w:rPr>
        <w:t>supplementing the</w:t>
      </w:r>
      <w:r w:rsidRPr="008C696E">
        <w:rPr>
          <w:rFonts w:ascii="Times New Roman" w:eastAsiaTheme="minorHAnsi" w:hAnsi="Times New Roman" w:cs="Times New Roman"/>
          <w:sz w:val="28"/>
          <w:szCs w:val="28"/>
          <w:lang w:val="en-GB" w:eastAsia="en-US"/>
        </w:rPr>
        <w:t xml:space="preserve"> risk-oriented approach to the financial market</w:t>
      </w:r>
      <w:r w:rsidR="00D0084E">
        <w:rPr>
          <w:rFonts w:ascii="Times New Roman" w:eastAsiaTheme="minorHAnsi" w:hAnsi="Times New Roman" w:cs="Times New Roman"/>
          <w:sz w:val="28"/>
          <w:szCs w:val="28"/>
          <w:lang w:val="en-GB" w:eastAsia="en-US"/>
        </w:rPr>
        <w:t>,</w:t>
      </w:r>
      <w:r w:rsidRPr="008C696E">
        <w:rPr>
          <w:rFonts w:ascii="Times New Roman" w:eastAsiaTheme="minorHAnsi" w:hAnsi="Times New Roman" w:cs="Times New Roman"/>
          <w:sz w:val="28"/>
          <w:szCs w:val="28"/>
          <w:lang w:val="en-GB" w:eastAsia="en-US"/>
        </w:rPr>
        <w:t xml:space="preserve"> based on Basel requirements, </w:t>
      </w:r>
      <w:r w:rsidR="00D0084E">
        <w:rPr>
          <w:rFonts w:ascii="Times New Roman" w:eastAsiaTheme="minorHAnsi" w:hAnsi="Times New Roman" w:cs="Times New Roman"/>
          <w:sz w:val="28"/>
          <w:szCs w:val="28"/>
          <w:lang w:val="en-GB" w:eastAsia="en-US"/>
        </w:rPr>
        <w:t xml:space="preserve">by </w:t>
      </w:r>
      <w:r w:rsidRPr="008C696E">
        <w:rPr>
          <w:rFonts w:ascii="Times New Roman" w:eastAsiaTheme="minorHAnsi" w:hAnsi="Times New Roman" w:cs="Times New Roman"/>
          <w:sz w:val="28"/>
          <w:szCs w:val="28"/>
          <w:lang w:val="en-GB" w:eastAsia="en-US"/>
        </w:rPr>
        <w:t xml:space="preserve">the provisions of the risk-based approach developed by the FATF and implemented in the </w:t>
      </w:r>
      <w:r w:rsidR="00D0084E">
        <w:rPr>
          <w:rFonts w:ascii="Times New Roman" w:eastAsiaTheme="minorHAnsi" w:hAnsi="Times New Roman" w:cs="Times New Roman"/>
          <w:sz w:val="28"/>
          <w:szCs w:val="28"/>
          <w:lang w:val="en-GB" w:eastAsia="en-US"/>
        </w:rPr>
        <w:t>system of anti-</w:t>
      </w:r>
      <w:r w:rsidR="0001519F">
        <w:rPr>
          <w:rFonts w:ascii="Times New Roman" w:hAnsi="Times New Roman" w:cs="Times New Roman"/>
          <w:sz w:val="28"/>
          <w:szCs w:val="28"/>
          <w:lang w:val="en-GB"/>
        </w:rPr>
        <w:t>m</w:t>
      </w:r>
      <w:r w:rsidR="0001519F" w:rsidRPr="0068190E">
        <w:rPr>
          <w:rFonts w:ascii="Times New Roman" w:hAnsi="Times New Roman" w:cs="Times New Roman"/>
          <w:sz w:val="28"/>
          <w:szCs w:val="28"/>
          <w:lang w:val="en-GB"/>
        </w:rPr>
        <w:t xml:space="preserve">oney </w:t>
      </w:r>
      <w:r w:rsidR="0001519F">
        <w:rPr>
          <w:rFonts w:ascii="Times New Roman" w:hAnsi="Times New Roman" w:cs="Times New Roman"/>
          <w:sz w:val="28"/>
          <w:szCs w:val="28"/>
          <w:lang w:val="en-GB"/>
        </w:rPr>
        <w:t>l</w:t>
      </w:r>
      <w:r w:rsidR="0001519F" w:rsidRPr="0068190E">
        <w:rPr>
          <w:rFonts w:ascii="Times New Roman" w:hAnsi="Times New Roman" w:cs="Times New Roman"/>
          <w:sz w:val="28"/>
          <w:szCs w:val="28"/>
          <w:lang w:val="en-GB"/>
        </w:rPr>
        <w:t>aundering</w:t>
      </w:r>
      <w:r w:rsidR="00D0084E">
        <w:rPr>
          <w:rFonts w:ascii="Times New Roman" w:hAnsi="Times New Roman" w:cs="Times New Roman"/>
          <w:sz w:val="28"/>
          <w:szCs w:val="28"/>
          <w:lang w:val="en-GB"/>
        </w:rPr>
        <w:t xml:space="preserve"> and combating the </w:t>
      </w:r>
      <w:r w:rsidR="0001519F">
        <w:rPr>
          <w:rFonts w:ascii="Times New Roman" w:hAnsi="Times New Roman" w:cs="Times New Roman"/>
          <w:sz w:val="28"/>
          <w:szCs w:val="28"/>
          <w:lang w:val="en-GB"/>
        </w:rPr>
        <w:t>f</w:t>
      </w:r>
      <w:r w:rsidR="0001519F" w:rsidRPr="0068190E">
        <w:rPr>
          <w:rFonts w:ascii="Times New Roman" w:hAnsi="Times New Roman" w:cs="Times New Roman"/>
          <w:sz w:val="28"/>
          <w:szCs w:val="28"/>
          <w:lang w:val="en-GB"/>
        </w:rPr>
        <w:t xml:space="preserve">inancing of </w:t>
      </w:r>
      <w:r w:rsidR="0001519F">
        <w:rPr>
          <w:rFonts w:ascii="Times New Roman" w:hAnsi="Times New Roman" w:cs="Times New Roman"/>
          <w:sz w:val="28"/>
          <w:szCs w:val="28"/>
          <w:lang w:val="en-GB"/>
        </w:rPr>
        <w:t>t</w:t>
      </w:r>
      <w:r w:rsidR="0001519F" w:rsidRPr="0068190E">
        <w:rPr>
          <w:rFonts w:ascii="Times New Roman" w:hAnsi="Times New Roman" w:cs="Times New Roman"/>
          <w:sz w:val="28"/>
          <w:szCs w:val="28"/>
          <w:lang w:val="en-GB"/>
        </w:rPr>
        <w:t>errorism</w:t>
      </w:r>
      <w:r w:rsidR="0001519F">
        <w:rPr>
          <w:rFonts w:ascii="Times New Roman" w:hAnsi="Times New Roman" w:cs="Times New Roman"/>
          <w:sz w:val="28"/>
          <w:szCs w:val="28"/>
          <w:lang w:val="en-GB"/>
        </w:rPr>
        <w:t xml:space="preserve"> (AML/</w:t>
      </w:r>
      <w:r w:rsidR="0001519F" w:rsidRPr="002D6991">
        <w:rPr>
          <w:rFonts w:ascii="Times New Roman" w:hAnsi="Times New Roman" w:cs="Times New Roman"/>
          <w:sz w:val="28"/>
          <w:szCs w:val="28"/>
          <w:lang w:val="en-GB"/>
        </w:rPr>
        <w:t>CFT</w:t>
      </w:r>
      <w:r w:rsidR="0001519F">
        <w:rPr>
          <w:rFonts w:ascii="Times New Roman" w:hAnsi="Times New Roman" w:cs="Times New Roman"/>
          <w:sz w:val="28"/>
          <w:szCs w:val="28"/>
          <w:lang w:val="en-GB"/>
        </w:rPr>
        <w:t>)</w:t>
      </w:r>
      <w:r w:rsidRPr="008C696E">
        <w:rPr>
          <w:rFonts w:ascii="Times New Roman" w:eastAsiaTheme="minorHAnsi" w:hAnsi="Times New Roman" w:cs="Times New Roman"/>
          <w:sz w:val="28"/>
          <w:szCs w:val="28"/>
          <w:lang w:val="en-GB" w:eastAsia="en-US"/>
        </w:rPr>
        <w:t xml:space="preserve">, namely: </w:t>
      </w:r>
      <w:r w:rsidR="00D0084E">
        <w:rPr>
          <w:rFonts w:ascii="Times New Roman" w:eastAsiaTheme="minorHAnsi" w:hAnsi="Times New Roman" w:cs="Times New Roman"/>
          <w:sz w:val="28"/>
          <w:szCs w:val="28"/>
          <w:lang w:val="en-GB" w:eastAsia="en-US"/>
        </w:rPr>
        <w:t xml:space="preserve">by </w:t>
      </w:r>
      <w:r w:rsidRPr="008C696E">
        <w:rPr>
          <w:rFonts w:ascii="Times New Roman" w:eastAsiaTheme="minorHAnsi" w:hAnsi="Times New Roman" w:cs="Times New Roman"/>
          <w:sz w:val="28"/>
          <w:szCs w:val="28"/>
          <w:lang w:val="en-GB" w:eastAsia="en-US"/>
        </w:rPr>
        <w:t>emphasi</w:t>
      </w:r>
      <w:r w:rsidR="00D0084E">
        <w:rPr>
          <w:rFonts w:ascii="Times New Roman" w:eastAsiaTheme="minorHAnsi" w:hAnsi="Times New Roman" w:cs="Times New Roman"/>
          <w:sz w:val="28"/>
          <w:szCs w:val="28"/>
          <w:lang w:val="en-GB" w:eastAsia="en-US"/>
        </w:rPr>
        <w:t xml:space="preserve">zing </w:t>
      </w:r>
      <w:r w:rsidRPr="008C696E">
        <w:rPr>
          <w:rFonts w:ascii="Times New Roman" w:eastAsiaTheme="minorHAnsi" w:hAnsi="Times New Roman" w:cs="Times New Roman"/>
          <w:sz w:val="28"/>
          <w:szCs w:val="28"/>
          <w:lang w:val="en-GB" w:eastAsia="en-US"/>
        </w:rPr>
        <w:t>the identification of financial vulnerabilities institutions as an element of risk assessment within the triad “threat</w:t>
      </w:r>
      <w:r w:rsidR="007B5147">
        <w:rPr>
          <w:rFonts w:ascii="Times New Roman" w:eastAsiaTheme="minorHAnsi" w:hAnsi="Times New Roman" w:cs="Times New Roman"/>
          <w:sz w:val="28"/>
          <w:szCs w:val="28"/>
          <w:lang w:val="en-GB" w:eastAsia="en-US"/>
        </w:rPr>
        <w:t xml:space="preserve"> – </w:t>
      </w:r>
      <w:r w:rsidRPr="008C696E">
        <w:rPr>
          <w:rFonts w:ascii="Times New Roman" w:eastAsiaTheme="minorHAnsi" w:hAnsi="Times New Roman" w:cs="Times New Roman"/>
          <w:sz w:val="28"/>
          <w:szCs w:val="28"/>
          <w:lang w:val="en-GB" w:eastAsia="en-US"/>
        </w:rPr>
        <w:t>vulnerability</w:t>
      </w:r>
      <w:r w:rsidR="007B5147">
        <w:rPr>
          <w:rFonts w:ascii="Times New Roman" w:eastAsiaTheme="minorHAnsi" w:hAnsi="Times New Roman" w:cs="Times New Roman"/>
          <w:sz w:val="28"/>
          <w:szCs w:val="28"/>
          <w:lang w:val="en-GB" w:eastAsia="en-US"/>
        </w:rPr>
        <w:t xml:space="preserve"> – </w:t>
      </w:r>
      <w:r w:rsidRPr="008C696E">
        <w:rPr>
          <w:rFonts w:ascii="Times New Roman" w:eastAsiaTheme="minorHAnsi" w:hAnsi="Times New Roman" w:cs="Times New Roman"/>
          <w:sz w:val="28"/>
          <w:szCs w:val="28"/>
          <w:lang w:val="en-GB" w:eastAsia="en-US"/>
        </w:rPr>
        <w:t xml:space="preserve">consequences”. This </w:t>
      </w:r>
      <w:r w:rsidR="00265795">
        <w:rPr>
          <w:rFonts w:ascii="Times New Roman" w:eastAsiaTheme="minorHAnsi" w:hAnsi="Times New Roman" w:cs="Times New Roman"/>
          <w:sz w:val="28"/>
          <w:szCs w:val="28"/>
          <w:lang w:val="en-GB" w:eastAsia="en-US"/>
        </w:rPr>
        <w:t xml:space="preserve">will allow </w:t>
      </w:r>
      <w:r w:rsidR="00612B36">
        <w:rPr>
          <w:rFonts w:ascii="Times New Roman" w:eastAsiaTheme="minorHAnsi" w:hAnsi="Times New Roman" w:cs="Times New Roman"/>
          <w:sz w:val="28"/>
          <w:szCs w:val="28"/>
          <w:lang w:val="en-GB" w:eastAsia="en-US"/>
        </w:rPr>
        <w:t>passing</w:t>
      </w:r>
      <w:r w:rsidR="00265795">
        <w:rPr>
          <w:rFonts w:ascii="Times New Roman" w:eastAsiaTheme="minorHAnsi" w:hAnsi="Times New Roman" w:cs="Times New Roman"/>
          <w:sz w:val="28"/>
          <w:szCs w:val="28"/>
          <w:lang w:val="en-GB" w:eastAsia="en-US"/>
        </w:rPr>
        <w:t xml:space="preserve"> on</w:t>
      </w:r>
      <w:r w:rsidRPr="008C696E">
        <w:rPr>
          <w:rFonts w:ascii="Times New Roman" w:eastAsiaTheme="minorHAnsi" w:hAnsi="Times New Roman" w:cs="Times New Roman"/>
          <w:sz w:val="28"/>
          <w:szCs w:val="28"/>
          <w:lang w:val="en-GB" w:eastAsia="en-US"/>
        </w:rPr>
        <w:t xml:space="preserve"> to a preventive response to threats;</w:t>
      </w:r>
    </w:p>
    <w:p w14:paraId="682E7B17" w14:textId="77777777" w:rsidR="0001519F"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2) taking into account the interrelationships of financial institutions and </w:t>
      </w:r>
      <w:r w:rsidRPr="008C696E">
        <w:rPr>
          <w:rFonts w:ascii="Times New Roman" w:eastAsiaTheme="minorHAnsi" w:hAnsi="Times New Roman" w:cs="Times New Roman"/>
          <w:sz w:val="28"/>
          <w:szCs w:val="28"/>
          <w:lang w:val="en-GB" w:eastAsia="en-US"/>
        </w:rPr>
        <w:lastRenderedPageBreak/>
        <w:t>households, as changes in the population's savings activity and its operations in the financial market significantly affect the stable functioning of financial institutions, including their AML/CFT risks;</w:t>
      </w:r>
    </w:p>
    <w:p w14:paraId="5A351844" w14:textId="58F40BFC" w:rsidR="007B5147"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3) </w:t>
      </w:r>
      <w:r w:rsidR="00612B36">
        <w:rPr>
          <w:rFonts w:ascii="Times New Roman" w:eastAsiaTheme="minorHAnsi" w:hAnsi="Times New Roman" w:cs="Times New Roman"/>
          <w:sz w:val="28"/>
          <w:szCs w:val="28"/>
          <w:lang w:val="en-GB" w:eastAsia="en-US"/>
        </w:rPr>
        <w:t>developing</w:t>
      </w:r>
      <w:r w:rsidRPr="008C696E">
        <w:rPr>
          <w:rFonts w:ascii="Times New Roman" w:eastAsiaTheme="minorHAnsi" w:hAnsi="Times New Roman" w:cs="Times New Roman"/>
          <w:sz w:val="28"/>
          <w:szCs w:val="28"/>
          <w:lang w:val="en-GB" w:eastAsia="en-US"/>
        </w:rPr>
        <w:t xml:space="preserve"> risk profiles of financial institutions for both money laundering and terrorist financing risks, and for other types of financial risks, and introducing monitoring of such risk profiles as a tool for regulating the activities of Russian financial institutions.</w:t>
      </w:r>
    </w:p>
    <w:p w14:paraId="41F0CCA8" w14:textId="028ED6DC" w:rsidR="007B5147"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The risk-oriented approach has become the mainstream of financial regulation. However, the practice of its implementation is different depending on the subject of regulation and the scope of application. The risk-oriented approach is treated by </w:t>
      </w:r>
      <w:r w:rsidR="007072B5">
        <w:rPr>
          <w:rFonts w:ascii="Times New Roman" w:eastAsiaTheme="minorHAnsi" w:hAnsi="Times New Roman" w:cs="Times New Roman"/>
          <w:sz w:val="28"/>
          <w:szCs w:val="28"/>
          <w:lang w:val="en-GB" w:eastAsia="en-US"/>
        </w:rPr>
        <w:t>the</w:t>
      </w:r>
      <w:r w:rsidRPr="008C696E">
        <w:rPr>
          <w:rFonts w:ascii="Times New Roman" w:eastAsiaTheme="minorHAnsi" w:hAnsi="Times New Roman" w:cs="Times New Roman"/>
          <w:sz w:val="28"/>
          <w:szCs w:val="28"/>
          <w:lang w:val="en-GB" w:eastAsia="en-US"/>
        </w:rPr>
        <w:t xml:space="preserve"> megaregulator of the Russian financial market as identical to proportional regulation, </w:t>
      </w:r>
      <w:r w:rsidR="007072B5">
        <w:rPr>
          <w:rFonts w:ascii="Times New Roman" w:eastAsiaTheme="minorHAnsi" w:hAnsi="Times New Roman" w:cs="Times New Roman"/>
          <w:sz w:val="28"/>
          <w:szCs w:val="28"/>
          <w:lang w:val="en-GB" w:eastAsia="en-US"/>
        </w:rPr>
        <w:t>i.e.</w:t>
      </w:r>
      <w:r w:rsidRPr="008C696E">
        <w:rPr>
          <w:rFonts w:ascii="Times New Roman" w:eastAsiaTheme="minorHAnsi" w:hAnsi="Times New Roman" w:cs="Times New Roman"/>
          <w:sz w:val="28"/>
          <w:szCs w:val="28"/>
          <w:lang w:val="en-GB" w:eastAsia="en-US"/>
        </w:rPr>
        <w:t xml:space="preserve"> dividing financial institutions into systemically significant and insignificant ones and establishing separate regulatory regimes for each of the groups. At the same time, it is obvious that in this case the assessment of the risks of financial institutions is replaced by </w:t>
      </w:r>
      <w:r w:rsidR="007072B5">
        <w:rPr>
          <w:rFonts w:ascii="Times New Roman" w:eastAsiaTheme="minorHAnsi" w:hAnsi="Times New Roman" w:cs="Times New Roman"/>
          <w:sz w:val="28"/>
          <w:szCs w:val="28"/>
          <w:lang w:val="en-GB" w:eastAsia="en-US"/>
        </w:rPr>
        <w:t>the</w:t>
      </w:r>
      <w:r w:rsidRPr="008C696E">
        <w:rPr>
          <w:rFonts w:ascii="Times New Roman" w:eastAsiaTheme="minorHAnsi" w:hAnsi="Times New Roman" w:cs="Times New Roman"/>
          <w:sz w:val="28"/>
          <w:szCs w:val="28"/>
          <w:lang w:val="en-GB" w:eastAsia="en-US"/>
        </w:rPr>
        <w:t xml:space="preserve"> assessment of systemic sign</w:t>
      </w:r>
      <w:r w:rsidR="007072B5">
        <w:rPr>
          <w:rFonts w:ascii="Times New Roman" w:eastAsiaTheme="minorHAnsi" w:hAnsi="Times New Roman" w:cs="Times New Roman"/>
          <w:sz w:val="28"/>
          <w:szCs w:val="28"/>
          <w:lang w:val="en-GB" w:eastAsia="en-US"/>
        </w:rPr>
        <w:t>ificance, which is not the same</w:t>
      </w:r>
      <w:r w:rsidRPr="008C696E">
        <w:rPr>
          <w:rFonts w:ascii="Times New Roman" w:eastAsiaTheme="minorHAnsi" w:hAnsi="Times New Roman" w:cs="Times New Roman"/>
          <w:sz w:val="28"/>
          <w:szCs w:val="28"/>
          <w:lang w:val="en-GB" w:eastAsia="en-US"/>
        </w:rPr>
        <w:t>. After all, within the</w:t>
      </w:r>
      <w:r w:rsidR="007072B5">
        <w:rPr>
          <w:rFonts w:ascii="Times New Roman" w:eastAsiaTheme="minorHAnsi" w:hAnsi="Times New Roman" w:cs="Times New Roman"/>
          <w:sz w:val="28"/>
          <w:szCs w:val="28"/>
          <w:lang w:val="en-GB" w:eastAsia="en-US"/>
        </w:rPr>
        <w:t>ir</w:t>
      </w:r>
      <w:r w:rsidRPr="008C696E">
        <w:rPr>
          <w:rFonts w:ascii="Times New Roman" w:eastAsiaTheme="minorHAnsi" w:hAnsi="Times New Roman" w:cs="Times New Roman"/>
          <w:sz w:val="28"/>
          <w:szCs w:val="28"/>
          <w:lang w:val="en-GB" w:eastAsia="en-US"/>
        </w:rPr>
        <w:t xml:space="preserve"> group</w:t>
      </w:r>
      <w:r w:rsidR="007072B5">
        <w:rPr>
          <w:rFonts w:ascii="Times New Roman" w:eastAsiaTheme="minorHAnsi" w:hAnsi="Times New Roman" w:cs="Times New Roman"/>
          <w:sz w:val="28"/>
          <w:szCs w:val="28"/>
          <w:lang w:val="en-GB" w:eastAsia="en-US"/>
        </w:rPr>
        <w:t>,</w:t>
      </w:r>
      <w:r w:rsidRPr="008C696E">
        <w:rPr>
          <w:rFonts w:ascii="Times New Roman" w:eastAsiaTheme="minorHAnsi" w:hAnsi="Times New Roman" w:cs="Times New Roman"/>
          <w:sz w:val="28"/>
          <w:szCs w:val="28"/>
          <w:lang w:val="en-GB" w:eastAsia="en-US"/>
        </w:rPr>
        <w:t xml:space="preserve"> systemically significant financial institutions can differ in the level of risks, which means insufficient effectiveness of the regulatory regime e</w:t>
      </w:r>
      <w:r w:rsidR="007B5147">
        <w:rPr>
          <w:rFonts w:ascii="Times New Roman" w:eastAsiaTheme="minorHAnsi" w:hAnsi="Times New Roman" w:cs="Times New Roman"/>
          <w:sz w:val="28"/>
          <w:szCs w:val="28"/>
          <w:lang w:val="en-GB" w:eastAsia="en-US"/>
        </w:rPr>
        <w:t>stablished for the whole group.</w:t>
      </w:r>
    </w:p>
    <w:p w14:paraId="4DE82EB5" w14:textId="11ECC00E" w:rsidR="007B5147"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On the other hand, within the AML/CFT system, which includes financial institutions as subjects of primary monitoring, the risk-oriented approach relies on the notion of risk as </w:t>
      </w:r>
      <w:r w:rsidR="007072B5">
        <w:rPr>
          <w:rFonts w:ascii="Times New Roman" w:eastAsiaTheme="minorHAnsi" w:hAnsi="Times New Roman" w:cs="Times New Roman"/>
          <w:sz w:val="28"/>
          <w:szCs w:val="28"/>
          <w:lang w:val="en-GB" w:eastAsia="en-US"/>
        </w:rPr>
        <w:t>the</w:t>
      </w:r>
      <w:r w:rsidRPr="008C696E">
        <w:rPr>
          <w:rFonts w:ascii="Times New Roman" w:eastAsiaTheme="minorHAnsi" w:hAnsi="Times New Roman" w:cs="Times New Roman"/>
          <w:sz w:val="28"/>
          <w:szCs w:val="28"/>
          <w:lang w:val="en-GB" w:eastAsia="en-US"/>
        </w:rPr>
        <w:t xml:space="preserve"> triad </w:t>
      </w:r>
      <w:r w:rsidR="007B5147" w:rsidRPr="008C696E">
        <w:rPr>
          <w:rFonts w:ascii="Times New Roman" w:eastAsiaTheme="minorHAnsi" w:hAnsi="Times New Roman" w:cs="Times New Roman"/>
          <w:sz w:val="28"/>
          <w:szCs w:val="28"/>
          <w:lang w:val="en-GB" w:eastAsia="en-US"/>
        </w:rPr>
        <w:t>“threat</w:t>
      </w:r>
      <w:r w:rsidR="007B5147">
        <w:rPr>
          <w:rFonts w:ascii="Times New Roman" w:eastAsiaTheme="minorHAnsi" w:hAnsi="Times New Roman" w:cs="Times New Roman"/>
          <w:sz w:val="28"/>
          <w:szCs w:val="28"/>
          <w:lang w:val="en-GB" w:eastAsia="en-US"/>
        </w:rPr>
        <w:t xml:space="preserve"> – </w:t>
      </w:r>
      <w:r w:rsidR="007B5147" w:rsidRPr="008C696E">
        <w:rPr>
          <w:rFonts w:ascii="Times New Roman" w:eastAsiaTheme="minorHAnsi" w:hAnsi="Times New Roman" w:cs="Times New Roman"/>
          <w:sz w:val="28"/>
          <w:szCs w:val="28"/>
          <w:lang w:val="en-GB" w:eastAsia="en-US"/>
        </w:rPr>
        <w:t>vulnerability</w:t>
      </w:r>
      <w:r w:rsidR="007B5147">
        <w:rPr>
          <w:rFonts w:ascii="Times New Roman" w:eastAsiaTheme="minorHAnsi" w:hAnsi="Times New Roman" w:cs="Times New Roman"/>
          <w:sz w:val="28"/>
          <w:szCs w:val="28"/>
          <w:lang w:val="en-GB" w:eastAsia="en-US"/>
        </w:rPr>
        <w:t xml:space="preserve"> – </w:t>
      </w:r>
      <w:r w:rsidR="007B5147" w:rsidRPr="008C696E">
        <w:rPr>
          <w:rFonts w:ascii="Times New Roman" w:eastAsiaTheme="minorHAnsi" w:hAnsi="Times New Roman" w:cs="Times New Roman"/>
          <w:sz w:val="28"/>
          <w:szCs w:val="28"/>
          <w:lang w:val="en-GB" w:eastAsia="en-US"/>
        </w:rPr>
        <w:t>consequences”</w:t>
      </w:r>
      <w:r w:rsidRPr="008C696E">
        <w:rPr>
          <w:rFonts w:ascii="Times New Roman" w:eastAsiaTheme="minorHAnsi" w:hAnsi="Times New Roman" w:cs="Times New Roman"/>
          <w:sz w:val="28"/>
          <w:szCs w:val="28"/>
          <w:lang w:val="en-GB" w:eastAsia="en-US"/>
        </w:rPr>
        <w:t>, from which it follows that risk assessment should be implemented in a comprehensive manner, but the identification of vulnerabilities as a key element of risk creates opportunities for the regulator to reduce risks and</w:t>
      </w:r>
      <w:r w:rsidR="007B5147">
        <w:rPr>
          <w:rFonts w:ascii="Times New Roman" w:eastAsiaTheme="minorHAnsi" w:hAnsi="Times New Roman" w:cs="Times New Roman"/>
          <w:sz w:val="28"/>
          <w:szCs w:val="28"/>
          <w:lang w:val="en-GB" w:eastAsia="en-US"/>
        </w:rPr>
        <w:t xml:space="preserve"> </w:t>
      </w:r>
      <w:r w:rsidR="007072B5">
        <w:rPr>
          <w:rFonts w:ascii="Times New Roman" w:eastAsiaTheme="minorHAnsi" w:hAnsi="Times New Roman" w:cs="Times New Roman"/>
          <w:sz w:val="28"/>
          <w:szCs w:val="28"/>
          <w:lang w:val="en-GB" w:eastAsia="en-US"/>
        </w:rPr>
        <w:t>take</w:t>
      </w:r>
      <w:r w:rsidR="007B5147">
        <w:rPr>
          <w:rFonts w:ascii="Times New Roman" w:eastAsiaTheme="minorHAnsi" w:hAnsi="Times New Roman" w:cs="Times New Roman"/>
          <w:sz w:val="28"/>
          <w:szCs w:val="28"/>
          <w:lang w:val="en-GB" w:eastAsia="en-US"/>
        </w:rPr>
        <w:t xml:space="preserve"> protective measures.</w:t>
      </w:r>
    </w:p>
    <w:p w14:paraId="5F54C240" w14:textId="2D9821B1" w:rsidR="009778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These differences in approaches and risk assessment </w:t>
      </w:r>
      <w:r w:rsidR="001015AA">
        <w:rPr>
          <w:rFonts w:ascii="Times New Roman" w:eastAsiaTheme="minorHAnsi" w:hAnsi="Times New Roman" w:cs="Times New Roman"/>
          <w:sz w:val="28"/>
          <w:szCs w:val="28"/>
          <w:lang w:val="en-GB" w:eastAsia="en-US"/>
        </w:rPr>
        <w:t>taken together</w:t>
      </w:r>
      <w:r w:rsidRPr="008C696E">
        <w:rPr>
          <w:rFonts w:ascii="Times New Roman" w:eastAsiaTheme="minorHAnsi" w:hAnsi="Times New Roman" w:cs="Times New Roman"/>
          <w:sz w:val="28"/>
          <w:szCs w:val="28"/>
          <w:lang w:val="en-GB" w:eastAsia="en-US"/>
        </w:rPr>
        <w:t xml:space="preserve"> create the basis for the formation of a regulatory approach that is focused on the vulnerability of financial institutions. The approach involves identifying vulnerabilities, creating measures for additional protection or reducing vulnerabilities. </w:t>
      </w:r>
      <w:r w:rsidR="001015AA">
        <w:rPr>
          <w:rFonts w:ascii="Times New Roman" w:eastAsiaTheme="minorHAnsi" w:hAnsi="Times New Roman" w:cs="Times New Roman"/>
          <w:sz w:val="28"/>
          <w:szCs w:val="28"/>
          <w:lang w:val="en-GB" w:eastAsia="en-US"/>
        </w:rPr>
        <w:t>V</w:t>
      </w:r>
      <w:r w:rsidRPr="008C696E">
        <w:rPr>
          <w:rFonts w:ascii="Times New Roman" w:eastAsiaTheme="minorHAnsi" w:hAnsi="Times New Roman" w:cs="Times New Roman"/>
          <w:sz w:val="28"/>
          <w:szCs w:val="28"/>
          <w:lang w:val="en-GB" w:eastAsia="en-US"/>
        </w:rPr>
        <w:t xml:space="preserve">ulnerabilities </w:t>
      </w:r>
      <w:r w:rsidR="001015AA">
        <w:rPr>
          <w:rFonts w:ascii="Times New Roman" w:eastAsiaTheme="minorHAnsi" w:hAnsi="Times New Roman" w:cs="Times New Roman"/>
          <w:sz w:val="28"/>
          <w:szCs w:val="28"/>
          <w:lang w:val="en-GB" w:eastAsia="en-US"/>
        </w:rPr>
        <w:t>are understood as</w:t>
      </w:r>
      <w:r w:rsidRPr="008C696E">
        <w:rPr>
          <w:rFonts w:ascii="Times New Roman" w:eastAsiaTheme="minorHAnsi" w:hAnsi="Times New Roman" w:cs="Times New Roman"/>
          <w:sz w:val="28"/>
          <w:szCs w:val="28"/>
          <w:lang w:val="en-GB" w:eastAsia="en-US"/>
        </w:rPr>
        <w:t xml:space="preserve"> those areas and activities in which the threat of the risk can be realized, as well as those factors that contribute to the </w:t>
      </w:r>
      <w:r w:rsidRPr="008C696E">
        <w:rPr>
          <w:rFonts w:ascii="Times New Roman" w:eastAsiaTheme="minorHAnsi" w:hAnsi="Times New Roman" w:cs="Times New Roman"/>
          <w:sz w:val="28"/>
          <w:szCs w:val="28"/>
          <w:lang w:val="en-GB" w:eastAsia="en-US"/>
        </w:rPr>
        <w:lastRenderedPageBreak/>
        <w:t>realization of the risk. In contrast to the risk-based approach based on Basel requirements, the proposed approach allows reacting to the r</w:t>
      </w:r>
      <w:r w:rsidR="009778E0">
        <w:rPr>
          <w:rFonts w:ascii="Times New Roman" w:eastAsiaTheme="minorHAnsi" w:hAnsi="Times New Roman" w:cs="Times New Roman"/>
          <w:sz w:val="28"/>
          <w:szCs w:val="28"/>
          <w:lang w:val="en-GB" w:eastAsia="en-US"/>
        </w:rPr>
        <w:t>isks of financial institutions.</w:t>
      </w:r>
    </w:p>
    <w:p w14:paraId="51ACEBB0" w14:textId="537CED5A" w:rsidR="009778E0" w:rsidRDefault="001015AA" w:rsidP="001A5614">
      <w:pPr>
        <w:widowControl w:val="0"/>
        <w:spacing w:line="360" w:lineRule="auto"/>
        <w:ind w:firstLine="708"/>
        <w:jc w:val="both"/>
        <w:rPr>
          <w:rFonts w:ascii="Times New Roman" w:eastAsiaTheme="minorHAnsi" w:hAnsi="Times New Roman" w:cs="Times New Roman"/>
          <w:sz w:val="28"/>
          <w:szCs w:val="28"/>
          <w:lang w:val="en-GB" w:eastAsia="en-US"/>
        </w:rPr>
      </w:pPr>
      <w:r>
        <w:rPr>
          <w:rFonts w:ascii="Times New Roman" w:eastAsiaTheme="minorHAnsi" w:hAnsi="Times New Roman" w:cs="Times New Roman"/>
          <w:sz w:val="28"/>
          <w:szCs w:val="28"/>
          <w:lang w:val="en-GB" w:eastAsia="en-US"/>
        </w:rPr>
        <w:t>A</w:t>
      </w:r>
      <w:r w:rsidR="008C696E" w:rsidRPr="008C696E">
        <w:rPr>
          <w:rFonts w:ascii="Times New Roman" w:eastAsiaTheme="minorHAnsi" w:hAnsi="Times New Roman" w:cs="Times New Roman"/>
          <w:sz w:val="28"/>
          <w:szCs w:val="28"/>
          <w:lang w:val="en-GB" w:eastAsia="en-US"/>
        </w:rPr>
        <w:t xml:space="preserve"> preventive response to threats of systemic risk growth</w:t>
      </w:r>
      <w:r>
        <w:rPr>
          <w:rFonts w:ascii="Times New Roman" w:eastAsiaTheme="minorHAnsi" w:hAnsi="Times New Roman" w:cs="Times New Roman"/>
          <w:sz w:val="28"/>
          <w:szCs w:val="28"/>
          <w:lang w:val="en-GB" w:eastAsia="en-US"/>
        </w:rPr>
        <w:t xml:space="preserve"> is understood as</w:t>
      </w:r>
      <w:r w:rsidR="008C696E" w:rsidRPr="008C696E">
        <w:rPr>
          <w:rFonts w:ascii="Times New Roman" w:eastAsiaTheme="minorHAnsi" w:hAnsi="Times New Roman" w:cs="Times New Roman"/>
          <w:sz w:val="28"/>
          <w:szCs w:val="28"/>
          <w:lang w:val="en-GB" w:eastAsia="en-US"/>
        </w:rPr>
        <w:t xml:space="preserve"> early identification of threats, </w:t>
      </w:r>
      <w:r>
        <w:rPr>
          <w:rFonts w:ascii="Times New Roman" w:eastAsiaTheme="minorHAnsi" w:hAnsi="Times New Roman" w:cs="Times New Roman"/>
          <w:sz w:val="28"/>
          <w:szCs w:val="28"/>
          <w:lang w:val="en-GB" w:eastAsia="en-US"/>
        </w:rPr>
        <w:t>detect</w:t>
      </w:r>
      <w:r w:rsidR="008C696E" w:rsidRPr="008C696E">
        <w:rPr>
          <w:rFonts w:ascii="Times New Roman" w:eastAsiaTheme="minorHAnsi" w:hAnsi="Times New Roman" w:cs="Times New Roman"/>
          <w:sz w:val="28"/>
          <w:szCs w:val="28"/>
          <w:lang w:val="en-GB" w:eastAsia="en-US"/>
        </w:rPr>
        <w:t>i</w:t>
      </w:r>
      <w:r>
        <w:rPr>
          <w:rFonts w:ascii="Times New Roman" w:eastAsiaTheme="minorHAnsi" w:hAnsi="Times New Roman" w:cs="Times New Roman"/>
          <w:sz w:val="28"/>
          <w:szCs w:val="28"/>
          <w:lang w:val="en-GB" w:eastAsia="en-US"/>
        </w:rPr>
        <w:t>o</w:t>
      </w:r>
      <w:r w:rsidR="008C696E" w:rsidRPr="008C696E">
        <w:rPr>
          <w:rFonts w:ascii="Times New Roman" w:eastAsiaTheme="minorHAnsi" w:hAnsi="Times New Roman" w:cs="Times New Roman"/>
          <w:sz w:val="28"/>
          <w:szCs w:val="28"/>
          <w:lang w:val="en-GB" w:eastAsia="en-US"/>
        </w:rPr>
        <w:t>n</w:t>
      </w:r>
      <w:r>
        <w:rPr>
          <w:rFonts w:ascii="Times New Roman" w:eastAsiaTheme="minorHAnsi" w:hAnsi="Times New Roman" w:cs="Times New Roman"/>
          <w:sz w:val="28"/>
          <w:szCs w:val="28"/>
          <w:lang w:val="en-GB" w:eastAsia="en-US"/>
        </w:rPr>
        <w:t xml:space="preserve"> of</w:t>
      </w:r>
      <w:r w:rsidR="008C696E" w:rsidRPr="008C696E">
        <w:rPr>
          <w:rFonts w:ascii="Times New Roman" w:eastAsiaTheme="minorHAnsi" w:hAnsi="Times New Roman" w:cs="Times New Roman"/>
          <w:sz w:val="28"/>
          <w:szCs w:val="28"/>
          <w:lang w:val="en-GB" w:eastAsia="en-US"/>
        </w:rPr>
        <w:t xml:space="preserve"> existing vulnerabilities to these threats, and taking measures to neutralize threats, as well as to reduce or f</w:t>
      </w:r>
      <w:r w:rsidR="009778E0">
        <w:rPr>
          <w:rFonts w:ascii="Times New Roman" w:eastAsiaTheme="minorHAnsi" w:hAnsi="Times New Roman" w:cs="Times New Roman"/>
          <w:sz w:val="28"/>
          <w:szCs w:val="28"/>
          <w:lang w:val="en-GB" w:eastAsia="en-US"/>
        </w:rPr>
        <w:t>urther protect vulnerabilities.</w:t>
      </w:r>
    </w:p>
    <w:p w14:paraId="71DAA1FD" w14:textId="77777777" w:rsidR="009778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The proposed approach solves macroeconomic problems, and at the same time logically complements the approach and the pilot project of Rosfinmonitoring on the typology of risk profiles of financial organizations, which was launched in 2016 on the basis of 12 largest banks. The combination of these approaches can create a positive synergetic effect in the regu</w:t>
      </w:r>
      <w:r w:rsidR="009778E0">
        <w:rPr>
          <w:rFonts w:ascii="Times New Roman" w:eastAsiaTheme="minorHAnsi" w:hAnsi="Times New Roman" w:cs="Times New Roman"/>
          <w:sz w:val="28"/>
          <w:szCs w:val="28"/>
          <w:lang w:val="en-GB" w:eastAsia="en-US"/>
        </w:rPr>
        <w:t>lation of the financial market.</w:t>
      </w:r>
    </w:p>
    <w:p w14:paraId="6B856C0E" w14:textId="77777777" w:rsidR="009778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In the framework of the presented approach, we have developed a concept of the relationship between the vulnerabilities of financial institutions and households to the risks of money laundering and terrorist financing, as well as a methodology for identifying the vulnerabilities of systemically </w:t>
      </w:r>
      <w:r w:rsidR="009778E0">
        <w:rPr>
          <w:rFonts w:ascii="Times New Roman" w:eastAsiaTheme="minorHAnsi" w:hAnsi="Times New Roman" w:cs="Times New Roman"/>
          <w:sz w:val="28"/>
          <w:szCs w:val="28"/>
          <w:lang w:val="en-GB" w:eastAsia="en-US"/>
        </w:rPr>
        <w:t>important banks to these risks.</w:t>
      </w:r>
    </w:p>
    <w:p w14:paraId="788F4CBE" w14:textId="6CEA534E" w:rsidR="009778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The concept of the relationship between the vulnerabilities of financial institutions and households to the risks of money laundering and terrorist financing (ML/FT) is as follows. Financial institutions, by their nature, are vulnerable to ML/FT risks [1]. Moreover, studies (for example, [2]) show that households with different risk tolerance and financial literacy may be vulnerable to ML/TF risks. Being interconnected in their activities, financial institutions can both transfer their vulnerabilities to the ML/FT risk to households, and vice versa, become</w:t>
      </w:r>
      <w:r w:rsidR="009778E0">
        <w:rPr>
          <w:rFonts w:ascii="Times New Roman" w:eastAsiaTheme="minorHAnsi" w:hAnsi="Times New Roman" w:cs="Times New Roman"/>
          <w:sz w:val="28"/>
          <w:szCs w:val="28"/>
          <w:lang w:val="en-GB" w:eastAsia="en-US"/>
        </w:rPr>
        <w:t xml:space="preserve"> vulnerable to household risks.</w:t>
      </w:r>
    </w:p>
    <w:p w14:paraId="2C801860" w14:textId="77777777" w:rsidR="009778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The transfer of vulnerability to the ML/FT risk from financial institutions t</w:t>
      </w:r>
      <w:r w:rsidR="009778E0">
        <w:rPr>
          <w:rFonts w:ascii="Times New Roman" w:eastAsiaTheme="minorHAnsi" w:hAnsi="Times New Roman" w:cs="Times New Roman"/>
          <w:sz w:val="28"/>
          <w:szCs w:val="28"/>
          <w:lang w:val="en-GB" w:eastAsia="en-US"/>
        </w:rPr>
        <w:t>o households can occur through:</w:t>
      </w:r>
    </w:p>
    <w:p w14:paraId="4933DE63" w14:textId="5D457EAD" w:rsidR="009778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1) direct involvement of money </w:t>
      </w:r>
      <w:r w:rsidR="00E26293">
        <w:rPr>
          <w:rFonts w:ascii="Times New Roman" w:eastAsiaTheme="minorHAnsi" w:hAnsi="Times New Roman" w:cs="Times New Roman"/>
          <w:sz w:val="28"/>
          <w:szCs w:val="28"/>
          <w:lang w:val="en-GB" w:eastAsia="en-US"/>
        </w:rPr>
        <w:t xml:space="preserve">resources </w:t>
      </w:r>
      <w:r w:rsidRPr="008C696E">
        <w:rPr>
          <w:rFonts w:ascii="Times New Roman" w:eastAsiaTheme="minorHAnsi" w:hAnsi="Times New Roman" w:cs="Times New Roman"/>
          <w:sz w:val="28"/>
          <w:szCs w:val="28"/>
          <w:lang w:val="en-GB" w:eastAsia="en-US"/>
        </w:rPr>
        <w:t>legally raised from households in money laundering, that is, households become indirect involuntary participants in the money laundering process (for example, according t</w:t>
      </w:r>
      <w:r w:rsidR="009778E0">
        <w:rPr>
          <w:rFonts w:ascii="Times New Roman" w:eastAsiaTheme="minorHAnsi" w:hAnsi="Times New Roman" w:cs="Times New Roman"/>
          <w:sz w:val="28"/>
          <w:szCs w:val="28"/>
          <w:lang w:val="en-GB" w:eastAsia="en-US"/>
        </w:rPr>
        <w:t>o the schemes outlined in [3]);</w:t>
      </w:r>
    </w:p>
    <w:p w14:paraId="65E748B0" w14:textId="05A1C979" w:rsidR="009778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lastRenderedPageBreak/>
        <w:t xml:space="preserve">2) indirect involvement of </w:t>
      </w:r>
      <w:r w:rsidR="00E26293" w:rsidRPr="008C696E">
        <w:rPr>
          <w:rFonts w:ascii="Times New Roman" w:eastAsiaTheme="minorHAnsi" w:hAnsi="Times New Roman" w:cs="Times New Roman"/>
          <w:sz w:val="28"/>
          <w:szCs w:val="28"/>
          <w:lang w:val="en-GB" w:eastAsia="en-US"/>
        </w:rPr>
        <w:t xml:space="preserve">money </w:t>
      </w:r>
      <w:r w:rsidR="00E26293">
        <w:rPr>
          <w:rFonts w:ascii="Times New Roman" w:eastAsiaTheme="minorHAnsi" w:hAnsi="Times New Roman" w:cs="Times New Roman"/>
          <w:sz w:val="28"/>
          <w:szCs w:val="28"/>
          <w:lang w:val="en-GB" w:eastAsia="en-US"/>
        </w:rPr>
        <w:t xml:space="preserve">resources </w:t>
      </w:r>
      <w:r w:rsidR="00E26293" w:rsidRPr="008C696E">
        <w:rPr>
          <w:rFonts w:ascii="Times New Roman" w:eastAsiaTheme="minorHAnsi" w:hAnsi="Times New Roman" w:cs="Times New Roman"/>
          <w:sz w:val="28"/>
          <w:szCs w:val="28"/>
          <w:lang w:val="en-GB" w:eastAsia="en-US"/>
        </w:rPr>
        <w:t xml:space="preserve">legally raised from households </w:t>
      </w:r>
      <w:r w:rsidRPr="008C696E">
        <w:rPr>
          <w:rFonts w:ascii="Times New Roman" w:eastAsiaTheme="minorHAnsi" w:hAnsi="Times New Roman" w:cs="Times New Roman"/>
          <w:sz w:val="28"/>
          <w:szCs w:val="28"/>
          <w:lang w:val="en-GB" w:eastAsia="en-US"/>
        </w:rPr>
        <w:t xml:space="preserve">in money laundering. An example is the loss of household funds as a result of revocation of banking licenses due to repeated violations of the requirements </w:t>
      </w:r>
      <w:r w:rsidR="00686B8C">
        <w:rPr>
          <w:rFonts w:ascii="Times New Roman" w:eastAsiaTheme="minorHAnsi" w:hAnsi="Times New Roman" w:cs="Times New Roman"/>
          <w:sz w:val="28"/>
          <w:szCs w:val="28"/>
          <w:lang w:val="en-GB" w:eastAsia="en-US"/>
        </w:rPr>
        <w:t>contemplated</w:t>
      </w:r>
      <w:r w:rsidRPr="008C696E">
        <w:rPr>
          <w:rFonts w:ascii="Times New Roman" w:eastAsiaTheme="minorHAnsi" w:hAnsi="Times New Roman" w:cs="Times New Roman"/>
          <w:sz w:val="28"/>
          <w:szCs w:val="28"/>
          <w:lang w:val="en-GB" w:eastAsia="en-US"/>
        </w:rPr>
        <w:t xml:space="preserve"> in </w:t>
      </w:r>
      <w:r w:rsidR="00686B8C">
        <w:rPr>
          <w:rFonts w:ascii="Times New Roman" w:eastAsiaTheme="minorHAnsi" w:hAnsi="Times New Roman" w:cs="Times New Roman"/>
          <w:sz w:val="28"/>
          <w:szCs w:val="28"/>
          <w:lang w:val="en-GB" w:eastAsia="en-US"/>
        </w:rPr>
        <w:t>A</w:t>
      </w:r>
      <w:r w:rsidRPr="008C696E">
        <w:rPr>
          <w:rFonts w:ascii="Times New Roman" w:eastAsiaTheme="minorHAnsi" w:hAnsi="Times New Roman" w:cs="Times New Roman"/>
          <w:sz w:val="28"/>
          <w:szCs w:val="28"/>
          <w:lang w:val="en-GB" w:eastAsia="en-US"/>
        </w:rPr>
        <w:t>rticles 6 a</w:t>
      </w:r>
      <w:r w:rsidR="009778E0">
        <w:rPr>
          <w:rFonts w:ascii="Times New Roman" w:eastAsiaTheme="minorHAnsi" w:hAnsi="Times New Roman" w:cs="Times New Roman"/>
          <w:sz w:val="28"/>
          <w:szCs w:val="28"/>
          <w:lang w:val="en-GB" w:eastAsia="en-US"/>
        </w:rPr>
        <w:t>nd 7 of Federal Law No. 115-FZ</w:t>
      </w:r>
      <w:r w:rsidR="00686B8C" w:rsidRPr="00686B8C">
        <w:rPr>
          <w:rFonts w:ascii="Times New Roman" w:eastAsiaTheme="minorHAnsi" w:hAnsi="Times New Roman" w:cs="Times New Roman"/>
          <w:sz w:val="28"/>
          <w:szCs w:val="28"/>
          <w:lang w:val="en-GB" w:eastAsia="en-US"/>
        </w:rPr>
        <w:t xml:space="preserve"> </w:t>
      </w:r>
      <w:r w:rsidR="00686B8C" w:rsidRPr="008C696E">
        <w:rPr>
          <w:rFonts w:ascii="Times New Roman" w:eastAsiaTheme="minorHAnsi" w:hAnsi="Times New Roman" w:cs="Times New Roman"/>
          <w:sz w:val="28"/>
          <w:szCs w:val="28"/>
          <w:lang w:val="en-GB" w:eastAsia="en-US"/>
        </w:rPr>
        <w:t>within one year</w:t>
      </w:r>
      <w:r w:rsidR="009778E0">
        <w:rPr>
          <w:rFonts w:ascii="Times New Roman" w:eastAsiaTheme="minorHAnsi" w:hAnsi="Times New Roman" w:cs="Times New Roman"/>
          <w:sz w:val="28"/>
          <w:szCs w:val="28"/>
          <w:lang w:val="en-GB" w:eastAsia="en-US"/>
        </w:rPr>
        <w:t>.</w:t>
      </w:r>
    </w:p>
    <w:p w14:paraId="74DC8823" w14:textId="2AE3CF5B" w:rsidR="00D721ED" w:rsidRDefault="00686B8C" w:rsidP="001A5614">
      <w:pPr>
        <w:widowControl w:val="0"/>
        <w:spacing w:line="360" w:lineRule="auto"/>
        <w:ind w:firstLine="708"/>
        <w:jc w:val="both"/>
        <w:rPr>
          <w:rFonts w:ascii="Times New Roman" w:eastAsiaTheme="minorHAnsi" w:hAnsi="Times New Roman" w:cs="Times New Roman"/>
          <w:sz w:val="28"/>
          <w:szCs w:val="28"/>
          <w:lang w:val="en-GB" w:eastAsia="en-US"/>
        </w:rPr>
      </w:pPr>
      <w:r>
        <w:rPr>
          <w:rFonts w:ascii="Times New Roman" w:eastAsiaTheme="minorHAnsi" w:hAnsi="Times New Roman" w:cs="Times New Roman"/>
          <w:sz w:val="28"/>
          <w:szCs w:val="28"/>
          <w:lang w:val="en-GB" w:eastAsia="en-US"/>
        </w:rPr>
        <w:t>The channels for transmitting v</w:t>
      </w:r>
      <w:r w:rsidR="008C696E" w:rsidRPr="008C696E">
        <w:rPr>
          <w:rFonts w:ascii="Times New Roman" w:eastAsiaTheme="minorHAnsi" w:hAnsi="Times New Roman" w:cs="Times New Roman"/>
          <w:sz w:val="28"/>
          <w:szCs w:val="28"/>
          <w:lang w:val="en-GB" w:eastAsia="en-US"/>
        </w:rPr>
        <w:t xml:space="preserve">ulnerabilities to the ML/FT risk from households to financial institutions are fraudulent schemes. In the securities market these are </w:t>
      </w:r>
      <w:r>
        <w:rPr>
          <w:rFonts w:ascii="Times New Roman" w:eastAsiaTheme="minorHAnsi" w:hAnsi="Times New Roman" w:cs="Times New Roman"/>
          <w:sz w:val="28"/>
          <w:szCs w:val="28"/>
          <w:lang w:val="en-GB" w:eastAsia="en-US"/>
        </w:rPr>
        <w:t xml:space="preserve">such </w:t>
      </w:r>
      <w:r w:rsidR="008C696E" w:rsidRPr="008C696E">
        <w:rPr>
          <w:rFonts w:ascii="Times New Roman" w:eastAsiaTheme="minorHAnsi" w:hAnsi="Times New Roman" w:cs="Times New Roman"/>
          <w:sz w:val="28"/>
          <w:szCs w:val="28"/>
          <w:lang w:val="en-GB" w:eastAsia="en-US"/>
        </w:rPr>
        <w:t>schemes “as: the laundering of money by an individual (household) by purchasing an open joint-stock shell company, money laundering by an individual (household) obtained as a result of tax evasion by electronic transfer of securities or acquisition shares in another country, money laundering by an individual (household) obtained as a result of insider trading”</w:t>
      </w:r>
      <w:r>
        <w:rPr>
          <w:rFonts w:ascii="Times New Roman" w:eastAsiaTheme="minorHAnsi" w:hAnsi="Times New Roman" w:cs="Times New Roman"/>
          <w:sz w:val="28"/>
          <w:szCs w:val="28"/>
          <w:lang w:val="en-GB" w:eastAsia="en-US"/>
        </w:rPr>
        <w:t xml:space="preserve"> </w:t>
      </w:r>
      <w:r w:rsidR="008C696E" w:rsidRPr="008C696E">
        <w:rPr>
          <w:rFonts w:ascii="Times New Roman" w:eastAsiaTheme="minorHAnsi" w:hAnsi="Times New Roman" w:cs="Times New Roman"/>
          <w:sz w:val="28"/>
          <w:szCs w:val="28"/>
          <w:lang w:val="en-GB" w:eastAsia="en-US"/>
        </w:rPr>
        <w:t>[2], through Internet-bas</w:t>
      </w:r>
      <w:r w:rsidR="00D721ED">
        <w:rPr>
          <w:rFonts w:ascii="Times New Roman" w:eastAsiaTheme="minorHAnsi" w:hAnsi="Times New Roman" w:cs="Times New Roman"/>
          <w:sz w:val="28"/>
          <w:szCs w:val="28"/>
          <w:lang w:val="en-GB" w:eastAsia="en-US"/>
        </w:rPr>
        <w:t>ed trading accounts and others.</w:t>
      </w:r>
    </w:p>
    <w:p w14:paraId="4B5F9EC0" w14:textId="69144A6A" w:rsidR="00D721ED"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There are “the following fraudulent schemes organized by individuals in the sector of non-banking financial institutions: the organization of a fictitious pawnshop by an individual (household) for cashing cash, collusion of an unscrupulous client-individual with a pawnshop about distorting the appraised value of a thing for cashing </w:t>
      </w:r>
      <w:r w:rsidR="00686B8C">
        <w:rPr>
          <w:rFonts w:ascii="Times New Roman" w:eastAsiaTheme="minorHAnsi" w:hAnsi="Times New Roman" w:cs="Times New Roman"/>
          <w:sz w:val="28"/>
          <w:szCs w:val="28"/>
          <w:lang w:val="en-GB" w:eastAsia="en-US"/>
        </w:rPr>
        <w:t>in of money resources</w:t>
      </w:r>
      <w:r w:rsidR="00D721ED">
        <w:rPr>
          <w:rFonts w:ascii="Times New Roman" w:eastAsiaTheme="minorHAnsi" w:hAnsi="Times New Roman" w:cs="Times New Roman"/>
          <w:sz w:val="28"/>
          <w:szCs w:val="28"/>
          <w:lang w:val="en-GB" w:eastAsia="en-US"/>
        </w:rPr>
        <w:t>,” and others [2].</w:t>
      </w:r>
    </w:p>
    <w:p w14:paraId="2E5A054A" w14:textId="6A8C87CB" w:rsidR="00D721ED"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In the banking sector, </w:t>
      </w:r>
      <w:r w:rsidR="00686B8C">
        <w:rPr>
          <w:rFonts w:ascii="Times New Roman" w:eastAsiaTheme="minorHAnsi" w:hAnsi="Times New Roman" w:cs="Times New Roman"/>
          <w:sz w:val="28"/>
          <w:szCs w:val="28"/>
          <w:lang w:val="en-GB" w:eastAsia="en-US"/>
        </w:rPr>
        <w:t xml:space="preserve">the following </w:t>
      </w:r>
      <w:r w:rsidRPr="008C696E">
        <w:rPr>
          <w:rFonts w:ascii="Times New Roman" w:eastAsiaTheme="minorHAnsi" w:hAnsi="Times New Roman" w:cs="Times New Roman"/>
          <w:sz w:val="28"/>
          <w:szCs w:val="28"/>
          <w:lang w:val="en-GB" w:eastAsia="en-US"/>
        </w:rPr>
        <w:t xml:space="preserve">fraudulent schemes are known: “the organization of pseudo-entrepreneurial structures for the purpose of money laundering by means of withdrawing and crediting funds to bank accounts, organizing the cashing of criminally acquired funds abroad” [2], </w:t>
      </w:r>
      <w:r w:rsidR="00D721ED">
        <w:rPr>
          <w:rFonts w:ascii="Times New Roman" w:eastAsiaTheme="minorHAnsi" w:hAnsi="Times New Roman" w:cs="Times New Roman"/>
          <w:sz w:val="28"/>
          <w:szCs w:val="28"/>
          <w:lang w:val="en-GB" w:eastAsia="en-US"/>
        </w:rPr>
        <w:t>illegal banking activities [4].</w:t>
      </w:r>
    </w:p>
    <w:p w14:paraId="4E89C40B" w14:textId="77777777" w:rsidR="00D721ED"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After the exchange of vulnerabilities with households, financial institutions may become poorly protected before external threats, the impact of which is the realization of the risk of money laun</w:t>
      </w:r>
      <w:r w:rsidR="00D721ED">
        <w:rPr>
          <w:rFonts w:ascii="Times New Roman" w:eastAsiaTheme="minorHAnsi" w:hAnsi="Times New Roman" w:cs="Times New Roman"/>
          <w:sz w:val="28"/>
          <w:szCs w:val="28"/>
          <w:lang w:val="en-GB" w:eastAsia="en-US"/>
        </w:rPr>
        <w:t>dering and terrorist financing.</w:t>
      </w:r>
    </w:p>
    <w:p w14:paraId="1632C3DF" w14:textId="77777777" w:rsidR="00D721ED" w:rsidRPr="001A5614" w:rsidRDefault="00D721ED" w:rsidP="001A5614">
      <w:pPr>
        <w:widowControl w:val="0"/>
        <w:spacing w:before="240" w:line="360" w:lineRule="auto"/>
        <w:ind w:firstLine="708"/>
        <w:jc w:val="both"/>
        <w:rPr>
          <w:rFonts w:ascii="Times New Roman" w:eastAsiaTheme="minorHAnsi" w:hAnsi="Times New Roman" w:cs="Times New Roman"/>
          <w:b/>
          <w:sz w:val="28"/>
          <w:szCs w:val="28"/>
          <w:lang w:val="en-GB" w:eastAsia="en-US"/>
        </w:rPr>
      </w:pPr>
      <w:r w:rsidRPr="001A5614">
        <w:rPr>
          <w:rFonts w:ascii="Times New Roman" w:eastAsiaTheme="minorHAnsi" w:hAnsi="Times New Roman" w:cs="Times New Roman"/>
          <w:b/>
          <w:sz w:val="28"/>
          <w:szCs w:val="28"/>
          <w:lang w:val="en-GB" w:eastAsia="en-US"/>
        </w:rPr>
        <w:t>Materials and methods</w:t>
      </w:r>
    </w:p>
    <w:p w14:paraId="34910EBD" w14:textId="77777777" w:rsidR="00D721ED"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To avoid the growth of ML/FT risks, it is necessary to identify vulnerability zones, take measures to protect them or reduce them. In order to identify the vulnerabilities of banks to ML/FT risks, we developed an appropriate method</w:t>
      </w:r>
      <w:r w:rsidR="00D721ED">
        <w:rPr>
          <w:rFonts w:ascii="Times New Roman" w:eastAsiaTheme="minorHAnsi" w:hAnsi="Times New Roman" w:cs="Times New Roman"/>
          <w:sz w:val="28"/>
          <w:szCs w:val="28"/>
          <w:lang w:val="en-GB" w:eastAsia="en-US"/>
        </w:rPr>
        <w:t>ology, first introduced in [5].</w:t>
      </w:r>
    </w:p>
    <w:p w14:paraId="3BEF4280" w14:textId="46F16440" w:rsidR="00D721ED"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lastRenderedPageBreak/>
        <w:t xml:space="preserve">The idea of the interconnectedness of risks in banking is the basis of the methodology for identifying bank vulnerabilities to ML/FT risks. Accordingly, in the first stage, bank risks related to the ML/FT risk were selected and the possible relationships were substantiated based on an analysis of the nature of violations by Russian banks of AML/CFT legislation. The next step is to assess the selected risks on the basis of the Bank of Russia regulatory recommendations and authoring developments. Based on the received values of bank risks, its original risk profile is formed for each bank. Further, the resulting risk profiles are grouped and </w:t>
      </w:r>
      <w:r w:rsidR="00686B8C">
        <w:rPr>
          <w:rFonts w:ascii="Times New Roman" w:eastAsiaTheme="minorHAnsi" w:hAnsi="Times New Roman" w:cs="Times New Roman"/>
          <w:sz w:val="28"/>
          <w:szCs w:val="28"/>
          <w:lang w:val="en-GB" w:eastAsia="en-US"/>
        </w:rPr>
        <w:t>split</w:t>
      </w:r>
      <w:r w:rsidRPr="008C696E">
        <w:rPr>
          <w:rFonts w:ascii="Times New Roman" w:eastAsiaTheme="minorHAnsi" w:hAnsi="Times New Roman" w:cs="Times New Roman"/>
          <w:sz w:val="28"/>
          <w:szCs w:val="28"/>
          <w:lang w:val="en-GB" w:eastAsia="en-US"/>
        </w:rPr>
        <w:t xml:space="preserve"> into types. “Grouping is implemented </w:t>
      </w:r>
      <w:r w:rsidR="00686B8C">
        <w:rPr>
          <w:rFonts w:ascii="Times New Roman" w:eastAsiaTheme="minorHAnsi" w:hAnsi="Times New Roman" w:cs="Times New Roman"/>
          <w:sz w:val="28"/>
          <w:szCs w:val="28"/>
          <w:lang w:val="en-GB" w:eastAsia="en-US"/>
        </w:rPr>
        <w:t xml:space="preserve">in the </w:t>
      </w:r>
      <w:r w:rsidRPr="008C696E">
        <w:rPr>
          <w:rFonts w:ascii="Times New Roman" w:eastAsiaTheme="minorHAnsi" w:hAnsi="Times New Roman" w:cs="Times New Roman"/>
          <w:sz w:val="28"/>
          <w:szCs w:val="28"/>
          <w:lang w:val="en-GB" w:eastAsia="en-US"/>
        </w:rPr>
        <w:t>follow</w:t>
      </w:r>
      <w:r w:rsidR="00686B8C">
        <w:rPr>
          <w:rFonts w:ascii="Times New Roman" w:eastAsiaTheme="minorHAnsi" w:hAnsi="Times New Roman" w:cs="Times New Roman"/>
          <w:sz w:val="28"/>
          <w:szCs w:val="28"/>
          <w:lang w:val="en-GB" w:eastAsia="en-US"/>
        </w:rPr>
        <w:t>ing way</w:t>
      </w:r>
      <w:r w:rsidRPr="008C696E">
        <w:rPr>
          <w:rFonts w:ascii="Times New Roman" w:eastAsiaTheme="minorHAnsi" w:hAnsi="Times New Roman" w:cs="Times New Roman"/>
          <w:sz w:val="28"/>
          <w:szCs w:val="28"/>
          <w:lang w:val="en-GB" w:eastAsia="en-US"/>
        </w:rPr>
        <w:t xml:space="preserve">: the first group of banks has the values of at least one of four risks above the average level for the group; the second group has at least one of the four risks below the average for the group. Typologization is based on the nature of the risk profiles. The definition of vulnerable areas correlates with the rationale for the relationship of the risks </w:t>
      </w:r>
      <w:r w:rsidR="00D721ED">
        <w:rPr>
          <w:rFonts w:ascii="Times New Roman" w:eastAsiaTheme="minorHAnsi" w:hAnsi="Times New Roman" w:cs="Times New Roman"/>
          <w:sz w:val="28"/>
          <w:szCs w:val="28"/>
          <w:lang w:val="en-GB" w:eastAsia="en-US"/>
        </w:rPr>
        <w:t>under consideration” [6, p.</w:t>
      </w:r>
      <w:r w:rsidR="00187FEF">
        <w:rPr>
          <w:rFonts w:ascii="Times New Roman" w:eastAsiaTheme="minorHAnsi" w:hAnsi="Times New Roman" w:cs="Times New Roman"/>
          <w:sz w:val="28"/>
          <w:szCs w:val="28"/>
          <w:lang w:val="en-GB" w:eastAsia="en-US"/>
        </w:rPr>
        <w:t xml:space="preserve"> </w:t>
      </w:r>
      <w:r w:rsidR="00D721ED">
        <w:rPr>
          <w:rFonts w:ascii="Times New Roman" w:eastAsiaTheme="minorHAnsi" w:hAnsi="Times New Roman" w:cs="Times New Roman"/>
          <w:sz w:val="28"/>
          <w:szCs w:val="28"/>
          <w:lang w:val="en-GB" w:eastAsia="en-US"/>
        </w:rPr>
        <w:t>36].</w:t>
      </w:r>
    </w:p>
    <w:p w14:paraId="64D6FA2B" w14:textId="70081C22" w:rsidR="00D721ED"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Approbation of the methodology was carried out for a group of 10 Russian systemically important banks for 2014. Moreover, in order to reveal the monitoring potential of this methodology, it was tested </w:t>
      </w:r>
      <w:r w:rsidR="00A14B21">
        <w:rPr>
          <w:rFonts w:ascii="Times New Roman" w:eastAsiaTheme="minorHAnsi" w:hAnsi="Times New Roman" w:cs="Times New Roman"/>
          <w:sz w:val="28"/>
          <w:szCs w:val="28"/>
          <w:lang w:val="en-GB" w:eastAsia="en-US"/>
        </w:rPr>
        <w:t>on</w:t>
      </w:r>
      <w:r w:rsidRPr="008C696E">
        <w:rPr>
          <w:rFonts w:ascii="Times New Roman" w:eastAsiaTheme="minorHAnsi" w:hAnsi="Times New Roman" w:cs="Times New Roman"/>
          <w:sz w:val="28"/>
          <w:szCs w:val="28"/>
          <w:lang w:val="en-GB" w:eastAsia="en-US"/>
        </w:rPr>
        <w:t xml:space="preserve"> </w:t>
      </w:r>
      <w:r w:rsidR="00A14B21">
        <w:rPr>
          <w:rFonts w:ascii="Times New Roman" w:eastAsiaTheme="minorHAnsi" w:hAnsi="Times New Roman" w:cs="Times New Roman"/>
          <w:sz w:val="28"/>
          <w:szCs w:val="28"/>
          <w:lang w:val="en-GB" w:eastAsia="en-US"/>
        </w:rPr>
        <w:t xml:space="preserve">the </w:t>
      </w:r>
      <w:r w:rsidRPr="008C696E">
        <w:rPr>
          <w:rFonts w:ascii="Times New Roman" w:eastAsiaTheme="minorHAnsi" w:hAnsi="Times New Roman" w:cs="Times New Roman"/>
          <w:sz w:val="28"/>
          <w:szCs w:val="28"/>
          <w:lang w:val="en-GB" w:eastAsia="en-US"/>
        </w:rPr>
        <w:t xml:space="preserve">Public Joint-Stock Company “Bank </w:t>
      </w:r>
      <w:r w:rsidR="003B521C">
        <w:rPr>
          <w:rFonts w:ascii="Times New Roman" w:eastAsiaTheme="minorHAnsi" w:hAnsi="Times New Roman" w:cs="Times New Roman"/>
          <w:sz w:val="28"/>
          <w:szCs w:val="28"/>
          <w:lang w:val="en-GB" w:eastAsia="en-US"/>
        </w:rPr>
        <w:t>Otkritie Financial Corporation”</w:t>
      </w:r>
      <w:r w:rsidR="003B521C" w:rsidRPr="003B521C">
        <w:rPr>
          <w:rFonts w:ascii="Times New Roman" w:eastAsiaTheme="minorHAnsi" w:hAnsi="Times New Roman" w:cs="Times New Roman"/>
          <w:sz w:val="28"/>
          <w:szCs w:val="28"/>
          <w:lang w:val="en-GB" w:eastAsia="en-US"/>
        </w:rPr>
        <w:t xml:space="preserve"> </w:t>
      </w:r>
      <w:r w:rsidR="003B521C" w:rsidRPr="008C696E">
        <w:rPr>
          <w:rFonts w:ascii="Times New Roman" w:eastAsiaTheme="minorHAnsi" w:hAnsi="Times New Roman" w:cs="Times New Roman"/>
          <w:sz w:val="28"/>
          <w:szCs w:val="28"/>
          <w:lang w:val="en-GB" w:eastAsia="en-US"/>
        </w:rPr>
        <w:t>for 2014</w:t>
      </w:r>
      <w:r w:rsidR="003B521C">
        <w:rPr>
          <w:rFonts w:ascii="Times New Roman" w:eastAsiaTheme="minorHAnsi" w:hAnsi="Times New Roman" w:cs="Times New Roman"/>
          <w:sz w:val="28"/>
          <w:szCs w:val="28"/>
          <w:lang w:val="en-GB" w:eastAsia="en-US"/>
        </w:rPr>
        <w:t xml:space="preserve"> – </w:t>
      </w:r>
      <w:r w:rsidR="003B521C" w:rsidRPr="008C696E">
        <w:rPr>
          <w:rFonts w:ascii="Times New Roman" w:eastAsiaTheme="minorHAnsi" w:hAnsi="Times New Roman" w:cs="Times New Roman"/>
          <w:sz w:val="28"/>
          <w:szCs w:val="28"/>
          <w:lang w:val="en-GB" w:eastAsia="en-US"/>
        </w:rPr>
        <w:t>2016</w:t>
      </w:r>
      <w:r w:rsidR="003B521C">
        <w:rPr>
          <w:rFonts w:ascii="Times New Roman" w:eastAsiaTheme="minorHAnsi" w:hAnsi="Times New Roman" w:cs="Times New Roman"/>
          <w:sz w:val="28"/>
          <w:szCs w:val="28"/>
          <w:lang w:val="en-GB" w:eastAsia="en-US"/>
        </w:rPr>
        <w:t xml:space="preserve">. </w:t>
      </w:r>
      <w:r w:rsidRPr="008C696E">
        <w:rPr>
          <w:rFonts w:ascii="Times New Roman" w:eastAsiaTheme="minorHAnsi" w:hAnsi="Times New Roman" w:cs="Times New Roman"/>
          <w:sz w:val="28"/>
          <w:szCs w:val="28"/>
          <w:lang w:val="en-GB" w:eastAsia="en-US"/>
        </w:rPr>
        <w:t>We used data presented in the monthly and quarterly financial statements of banks published on the Bank of Russia's official website </w:t>
      </w:r>
      <w:hyperlink r:id="rId5" w:tgtFrame="_blank" w:history="1">
        <w:r w:rsidRPr="008C696E">
          <w:rPr>
            <w:rFonts w:ascii="Times New Roman" w:eastAsiaTheme="minorHAnsi" w:hAnsi="Times New Roman" w:cs="Times New Roman"/>
            <w:sz w:val="28"/>
            <w:szCs w:val="28"/>
            <w:lang w:val="en-GB" w:eastAsia="en-US"/>
          </w:rPr>
          <w:t>www.cbr.ru</w:t>
        </w:r>
      </w:hyperlink>
      <w:r w:rsidR="00D721ED">
        <w:rPr>
          <w:rFonts w:ascii="Times New Roman" w:eastAsiaTheme="minorHAnsi" w:hAnsi="Times New Roman" w:cs="Times New Roman"/>
          <w:sz w:val="28"/>
          <w:szCs w:val="28"/>
          <w:lang w:val="en-GB" w:eastAsia="en-US"/>
        </w:rPr>
        <w:t>.</w:t>
      </w:r>
    </w:p>
    <w:p w14:paraId="26484360" w14:textId="77777777" w:rsidR="00D721ED" w:rsidRPr="00CA4DF4" w:rsidRDefault="00D721ED" w:rsidP="001A5614">
      <w:pPr>
        <w:widowControl w:val="0"/>
        <w:spacing w:before="240" w:line="360" w:lineRule="auto"/>
        <w:ind w:firstLine="708"/>
        <w:jc w:val="both"/>
        <w:rPr>
          <w:rFonts w:ascii="Times New Roman" w:eastAsiaTheme="minorHAnsi" w:hAnsi="Times New Roman" w:cs="Times New Roman"/>
          <w:b/>
          <w:sz w:val="28"/>
          <w:szCs w:val="28"/>
          <w:lang w:val="en-GB" w:eastAsia="en-US"/>
        </w:rPr>
      </w:pPr>
      <w:r w:rsidRPr="00CA4DF4">
        <w:rPr>
          <w:rFonts w:ascii="Times New Roman" w:eastAsiaTheme="minorHAnsi" w:hAnsi="Times New Roman" w:cs="Times New Roman"/>
          <w:b/>
          <w:sz w:val="28"/>
          <w:szCs w:val="28"/>
          <w:lang w:val="en-GB" w:eastAsia="en-US"/>
        </w:rPr>
        <w:t>Results</w:t>
      </w:r>
    </w:p>
    <w:p w14:paraId="3D4D881A" w14:textId="616F5E47" w:rsidR="0060219B"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Three types of risk profiles were identified: </w:t>
      </w:r>
      <w:r w:rsidR="005219AA">
        <w:rPr>
          <w:rFonts w:ascii="Times New Roman" w:eastAsiaTheme="minorHAnsi" w:hAnsi="Times New Roman" w:cs="Times New Roman"/>
          <w:sz w:val="28"/>
          <w:szCs w:val="28"/>
          <w:lang w:val="en-GB" w:eastAsia="en-US"/>
        </w:rPr>
        <w:t xml:space="preserve">those </w:t>
      </w:r>
      <w:r w:rsidRPr="008C696E">
        <w:rPr>
          <w:rFonts w:ascii="Times New Roman" w:eastAsiaTheme="minorHAnsi" w:hAnsi="Times New Roman" w:cs="Times New Roman"/>
          <w:sz w:val="28"/>
          <w:szCs w:val="28"/>
          <w:lang w:val="en-GB" w:eastAsia="en-US"/>
        </w:rPr>
        <w:t xml:space="preserve">with the dominance of two risks; </w:t>
      </w:r>
      <w:r w:rsidR="005219AA">
        <w:rPr>
          <w:rFonts w:ascii="Times New Roman" w:eastAsiaTheme="minorHAnsi" w:hAnsi="Times New Roman" w:cs="Times New Roman"/>
          <w:sz w:val="28"/>
          <w:szCs w:val="28"/>
          <w:lang w:val="en-GB" w:eastAsia="en-US"/>
        </w:rPr>
        <w:t xml:space="preserve">those </w:t>
      </w:r>
      <w:r w:rsidRPr="008C696E">
        <w:rPr>
          <w:rFonts w:ascii="Times New Roman" w:eastAsiaTheme="minorHAnsi" w:hAnsi="Times New Roman" w:cs="Times New Roman"/>
          <w:sz w:val="28"/>
          <w:szCs w:val="28"/>
          <w:lang w:val="en-GB" w:eastAsia="en-US"/>
        </w:rPr>
        <w:t xml:space="preserve">with the dominance of one risk; </w:t>
      </w:r>
      <w:r w:rsidR="005219AA">
        <w:rPr>
          <w:rFonts w:ascii="Times New Roman" w:eastAsiaTheme="minorHAnsi" w:hAnsi="Times New Roman" w:cs="Times New Roman"/>
          <w:sz w:val="28"/>
          <w:szCs w:val="28"/>
          <w:lang w:val="en-GB" w:eastAsia="en-US"/>
        </w:rPr>
        <w:t xml:space="preserve">those </w:t>
      </w:r>
      <w:r w:rsidRPr="008C696E">
        <w:rPr>
          <w:rFonts w:ascii="Times New Roman" w:eastAsiaTheme="minorHAnsi" w:hAnsi="Times New Roman" w:cs="Times New Roman"/>
          <w:sz w:val="28"/>
          <w:szCs w:val="28"/>
          <w:lang w:val="en-GB" w:eastAsia="en-US"/>
        </w:rPr>
        <w:t xml:space="preserve">without a pronounced emphasis on a particular risk based on the results of applying the methodology for identifying vulnerability zones of banks to the risks of money laundering and </w:t>
      </w:r>
      <w:r w:rsidR="0060219B">
        <w:rPr>
          <w:rFonts w:ascii="Times New Roman" w:eastAsiaTheme="minorHAnsi" w:hAnsi="Times New Roman" w:cs="Times New Roman"/>
          <w:sz w:val="28"/>
          <w:szCs w:val="28"/>
          <w:lang w:val="en-GB" w:eastAsia="en-US"/>
        </w:rPr>
        <w:t>terrorist financing (Fig. 1-3).</w:t>
      </w:r>
    </w:p>
    <w:p w14:paraId="626B1932" w14:textId="0E9A141A" w:rsidR="0060219B" w:rsidRPr="00CA4DF4" w:rsidRDefault="008C696E" w:rsidP="001A5614">
      <w:pPr>
        <w:widowControl w:val="0"/>
        <w:spacing w:line="360" w:lineRule="auto"/>
        <w:ind w:firstLine="708"/>
        <w:jc w:val="both"/>
        <w:rPr>
          <w:rFonts w:ascii="Times New Roman" w:eastAsiaTheme="minorHAnsi" w:hAnsi="Times New Roman" w:cs="Times New Roman"/>
          <w:sz w:val="28"/>
          <w:szCs w:val="28"/>
          <w:lang w:val="en-US" w:eastAsia="en-US"/>
        </w:rPr>
      </w:pPr>
      <w:r w:rsidRPr="008C696E">
        <w:rPr>
          <w:rFonts w:ascii="Times New Roman" w:eastAsiaTheme="minorHAnsi" w:hAnsi="Times New Roman" w:cs="Times New Roman"/>
          <w:sz w:val="28"/>
          <w:szCs w:val="28"/>
          <w:lang w:val="en-GB" w:eastAsia="en-US"/>
        </w:rPr>
        <w:t>“The type” with the dominance of two risks “includes banks in the profile of which two risks assume a value that is above the average for a group of systemically impor</w:t>
      </w:r>
      <w:r w:rsidR="0060219B">
        <w:rPr>
          <w:rFonts w:ascii="Times New Roman" w:eastAsiaTheme="minorHAnsi" w:hAnsi="Times New Roman" w:cs="Times New Roman"/>
          <w:sz w:val="28"/>
          <w:szCs w:val="28"/>
          <w:lang w:val="en-GB" w:eastAsia="en-US"/>
        </w:rPr>
        <w:t>tant banks” [6, p.36] (Fig. 1)</w:t>
      </w:r>
      <w:r w:rsidR="00CA4DF4" w:rsidRPr="00CA4DF4">
        <w:rPr>
          <w:rFonts w:ascii="Times New Roman" w:eastAsiaTheme="minorHAnsi" w:hAnsi="Times New Roman" w:cs="Times New Roman"/>
          <w:sz w:val="28"/>
          <w:szCs w:val="28"/>
          <w:lang w:val="en-US" w:eastAsia="en-US"/>
        </w:rPr>
        <w:t>.</w:t>
      </w:r>
    </w:p>
    <w:p w14:paraId="3CEDCD2D" w14:textId="7D98729A" w:rsidR="0060219B" w:rsidRPr="00CA4DF4" w:rsidRDefault="00F8248F" w:rsidP="001A5614">
      <w:pPr>
        <w:widowControl w:val="0"/>
        <w:spacing w:line="360" w:lineRule="auto"/>
        <w:jc w:val="center"/>
        <w:rPr>
          <w:rFonts w:ascii="Times New Roman" w:eastAsiaTheme="minorHAnsi" w:hAnsi="Times New Roman" w:cs="Times New Roman"/>
          <w:sz w:val="20"/>
          <w:szCs w:val="20"/>
          <w:lang w:val="en-US" w:eastAsia="en-US"/>
        </w:rPr>
      </w:pPr>
      <w:r>
        <w:rPr>
          <w:noProof/>
        </w:rPr>
        <w:lastRenderedPageBreak/>
        <w:drawing>
          <wp:inline distT="0" distB="0" distL="0" distR="0" wp14:anchorId="5C716F03" wp14:editId="06BCA3AE">
            <wp:extent cx="5552237" cy="3408883"/>
            <wp:effectExtent l="0" t="0" r="10795" b="203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08698A" w:rsidRPr="00CA4DF4">
        <w:rPr>
          <w:rFonts w:ascii="Times New Roman" w:eastAsiaTheme="minorHAnsi" w:hAnsi="Times New Roman" w:cs="Times New Roman"/>
          <w:sz w:val="20"/>
          <w:szCs w:val="20"/>
          <w:lang w:val="en-GB" w:eastAsia="en-US"/>
        </w:rPr>
        <w:t>JS</w:t>
      </w:r>
      <w:r w:rsidR="002D1DB9" w:rsidRPr="00CA4DF4">
        <w:rPr>
          <w:rFonts w:ascii="Times New Roman" w:eastAsiaTheme="minorHAnsi" w:hAnsi="Times New Roman" w:cs="Times New Roman"/>
          <w:sz w:val="20"/>
          <w:szCs w:val="20"/>
          <w:lang w:val="en-GB" w:eastAsia="en-US"/>
        </w:rPr>
        <w:t>С</w:t>
      </w:r>
      <w:r w:rsidR="0008698A" w:rsidRPr="00CA4DF4">
        <w:rPr>
          <w:rFonts w:ascii="Times New Roman" w:eastAsiaTheme="minorHAnsi" w:hAnsi="Times New Roman" w:cs="Times New Roman"/>
          <w:sz w:val="20"/>
          <w:szCs w:val="20"/>
          <w:lang w:val="en-GB" w:eastAsia="en-US"/>
        </w:rPr>
        <w:t xml:space="preserve"> Bank GPB, </w:t>
      </w:r>
      <w:r w:rsidR="002D1DB9" w:rsidRPr="00CA4DF4">
        <w:rPr>
          <w:rFonts w:ascii="Times New Roman" w:eastAsiaTheme="minorHAnsi" w:hAnsi="Times New Roman" w:cs="Times New Roman"/>
          <w:sz w:val="20"/>
          <w:szCs w:val="20"/>
          <w:lang w:val="en-GB" w:eastAsia="en-US"/>
        </w:rPr>
        <w:t>P</w:t>
      </w:r>
      <w:r w:rsidR="0008698A" w:rsidRPr="00CA4DF4">
        <w:rPr>
          <w:rFonts w:ascii="Times New Roman" w:eastAsiaTheme="minorHAnsi" w:hAnsi="Times New Roman" w:cs="Times New Roman"/>
          <w:sz w:val="20"/>
          <w:szCs w:val="20"/>
          <w:lang w:val="en-GB" w:eastAsia="en-US"/>
        </w:rPr>
        <w:t>JS</w:t>
      </w:r>
      <w:r w:rsidR="002D1DB9" w:rsidRPr="00CA4DF4">
        <w:rPr>
          <w:rFonts w:ascii="Times New Roman" w:eastAsiaTheme="minorHAnsi" w:hAnsi="Times New Roman" w:cs="Times New Roman"/>
          <w:sz w:val="20"/>
          <w:szCs w:val="20"/>
          <w:lang w:val="en-GB" w:eastAsia="en-US"/>
        </w:rPr>
        <w:t>С</w:t>
      </w:r>
      <w:r w:rsidR="0008698A" w:rsidRPr="00CA4DF4">
        <w:rPr>
          <w:rFonts w:ascii="Times New Roman" w:eastAsiaTheme="minorHAnsi" w:hAnsi="Times New Roman" w:cs="Times New Roman"/>
          <w:sz w:val="20"/>
          <w:szCs w:val="20"/>
          <w:lang w:val="en-GB" w:eastAsia="en-US"/>
        </w:rPr>
        <w:t xml:space="preserve"> Bank VTB, </w:t>
      </w:r>
      <w:r w:rsidR="002D1DB9" w:rsidRPr="00CA4DF4">
        <w:rPr>
          <w:rFonts w:ascii="Times New Roman" w:eastAsiaTheme="minorHAnsi" w:hAnsi="Times New Roman" w:cs="Times New Roman"/>
          <w:sz w:val="20"/>
          <w:szCs w:val="20"/>
          <w:lang w:val="en-GB" w:eastAsia="en-US"/>
        </w:rPr>
        <w:t>P</w:t>
      </w:r>
      <w:r w:rsidR="0008698A" w:rsidRPr="00CA4DF4">
        <w:rPr>
          <w:rFonts w:ascii="Times New Roman" w:eastAsiaTheme="minorHAnsi" w:hAnsi="Times New Roman" w:cs="Times New Roman"/>
          <w:sz w:val="20"/>
          <w:szCs w:val="20"/>
          <w:lang w:val="en-GB" w:eastAsia="en-US"/>
        </w:rPr>
        <w:t>JS</w:t>
      </w:r>
      <w:r w:rsidR="002D1DB9" w:rsidRPr="00CA4DF4">
        <w:rPr>
          <w:rFonts w:ascii="Times New Roman" w:eastAsiaTheme="minorHAnsi" w:hAnsi="Times New Roman" w:cs="Times New Roman"/>
          <w:sz w:val="20"/>
          <w:szCs w:val="20"/>
          <w:lang w:val="en-GB" w:eastAsia="en-US"/>
        </w:rPr>
        <w:t>C</w:t>
      </w:r>
      <w:r w:rsidR="0008698A" w:rsidRPr="00CA4DF4">
        <w:rPr>
          <w:rFonts w:ascii="Times New Roman" w:eastAsiaTheme="minorHAnsi" w:hAnsi="Times New Roman" w:cs="Times New Roman"/>
          <w:sz w:val="20"/>
          <w:szCs w:val="20"/>
          <w:lang w:val="en-GB" w:eastAsia="en-US"/>
        </w:rPr>
        <w:t xml:space="preserve"> Sberbank</w:t>
      </w:r>
    </w:p>
    <w:p w14:paraId="09E51157" w14:textId="64538346" w:rsidR="0008698A" w:rsidRPr="00CA4DF4" w:rsidRDefault="008C696E" w:rsidP="001A5614">
      <w:pPr>
        <w:widowControl w:val="0"/>
        <w:spacing w:line="360" w:lineRule="auto"/>
        <w:ind w:firstLine="708"/>
        <w:jc w:val="center"/>
        <w:rPr>
          <w:rFonts w:ascii="Times New Roman" w:eastAsiaTheme="minorHAnsi" w:hAnsi="Times New Roman" w:cs="Times New Roman"/>
          <w:sz w:val="20"/>
          <w:szCs w:val="20"/>
          <w:lang w:val="en-US" w:eastAsia="en-US"/>
        </w:rPr>
      </w:pPr>
      <w:r w:rsidRPr="00CA4DF4">
        <w:rPr>
          <w:rFonts w:ascii="Times New Roman" w:eastAsiaTheme="minorHAnsi" w:hAnsi="Times New Roman" w:cs="Times New Roman"/>
          <w:sz w:val="20"/>
          <w:szCs w:val="20"/>
          <w:lang w:val="en-GB" w:eastAsia="en-US"/>
        </w:rPr>
        <w:t>Source: author</w:t>
      </w:r>
      <w:r w:rsidR="00F8248F" w:rsidRPr="00CA4DF4">
        <w:rPr>
          <w:rFonts w:ascii="Times New Roman" w:eastAsiaTheme="minorHAnsi" w:hAnsi="Times New Roman" w:cs="Times New Roman"/>
          <w:sz w:val="20"/>
          <w:szCs w:val="20"/>
          <w:lang w:val="en-US" w:eastAsia="en-US"/>
        </w:rPr>
        <w:t>ing</w:t>
      </w:r>
    </w:p>
    <w:p w14:paraId="33D6EFDA" w14:textId="2CE3FE5C" w:rsidR="0008698A" w:rsidRPr="00CA4DF4" w:rsidRDefault="00CA4DF4" w:rsidP="001A5614">
      <w:pPr>
        <w:widowControl w:val="0"/>
        <w:spacing w:line="360" w:lineRule="auto"/>
        <w:ind w:firstLine="708"/>
        <w:jc w:val="center"/>
        <w:rPr>
          <w:rFonts w:ascii="Times New Roman" w:eastAsiaTheme="minorHAnsi" w:hAnsi="Times New Roman" w:cs="Times New Roman"/>
          <w:sz w:val="20"/>
          <w:szCs w:val="20"/>
          <w:lang w:val="en-GB" w:eastAsia="en-US"/>
        </w:rPr>
      </w:pPr>
      <w:r w:rsidRPr="00CA4DF4">
        <w:rPr>
          <w:rFonts w:ascii="Times New Roman" w:eastAsiaTheme="minorHAnsi" w:hAnsi="Times New Roman" w:cs="Times New Roman"/>
          <w:sz w:val="20"/>
          <w:szCs w:val="20"/>
          <w:lang w:val="en-GB" w:eastAsia="en-US"/>
        </w:rPr>
        <w:t>Figure 1</w:t>
      </w:r>
      <w:r w:rsidRPr="00CA4DF4">
        <w:rPr>
          <w:rFonts w:ascii="Times New Roman" w:eastAsiaTheme="minorHAnsi" w:hAnsi="Times New Roman" w:cs="Times New Roman"/>
          <w:sz w:val="20"/>
          <w:szCs w:val="20"/>
          <w:lang w:val="en-US" w:eastAsia="en-US"/>
        </w:rPr>
        <w:t xml:space="preserve"> </w:t>
      </w:r>
      <w:r w:rsidRPr="00CA4DF4">
        <w:rPr>
          <w:rFonts w:ascii="Times New Roman" w:hAnsi="Times New Roman" w:cs="Times New Roman"/>
          <w:sz w:val="20"/>
          <w:szCs w:val="20"/>
          <w:lang w:val="en-US"/>
        </w:rPr>
        <w:t xml:space="preserve">— </w:t>
      </w:r>
      <w:r w:rsidR="008C696E" w:rsidRPr="00CA4DF4">
        <w:rPr>
          <w:rFonts w:ascii="Times New Roman" w:eastAsiaTheme="minorHAnsi" w:hAnsi="Times New Roman" w:cs="Times New Roman"/>
          <w:sz w:val="20"/>
          <w:szCs w:val="20"/>
          <w:lang w:val="en-GB" w:eastAsia="en-US"/>
        </w:rPr>
        <w:t>The type of risk profile of Russian systemically important banks wit</w:t>
      </w:r>
      <w:r w:rsidR="0008698A" w:rsidRPr="00CA4DF4">
        <w:rPr>
          <w:rFonts w:ascii="Times New Roman" w:eastAsiaTheme="minorHAnsi" w:hAnsi="Times New Roman" w:cs="Times New Roman"/>
          <w:sz w:val="20"/>
          <w:szCs w:val="20"/>
          <w:lang w:val="en-GB" w:eastAsia="en-US"/>
        </w:rPr>
        <w:t>h the dominance of two risks</w:t>
      </w:r>
    </w:p>
    <w:p w14:paraId="57BC4F57" w14:textId="77777777" w:rsidR="00AD72D1"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The type “with the dominance of one risk” includes “banks in the profile of which one risk takes a value that is above the average for a group of systemically impor</w:t>
      </w:r>
      <w:r w:rsidR="00AD72D1">
        <w:rPr>
          <w:rFonts w:ascii="Times New Roman" w:eastAsiaTheme="minorHAnsi" w:hAnsi="Times New Roman" w:cs="Times New Roman"/>
          <w:sz w:val="28"/>
          <w:szCs w:val="28"/>
          <w:lang w:val="en-GB" w:eastAsia="en-US"/>
        </w:rPr>
        <w:t>tant banks” [6, p.37] (Fig. 2).</w:t>
      </w:r>
    </w:p>
    <w:p w14:paraId="7634DC84" w14:textId="03CDCBAE" w:rsidR="00AD72D1" w:rsidRPr="00CA4DF4" w:rsidRDefault="00F8248F" w:rsidP="001A5614">
      <w:pPr>
        <w:widowControl w:val="0"/>
        <w:spacing w:line="360" w:lineRule="auto"/>
        <w:jc w:val="center"/>
        <w:rPr>
          <w:rFonts w:ascii="Times New Roman" w:eastAsiaTheme="minorHAnsi" w:hAnsi="Times New Roman" w:cs="Times New Roman"/>
          <w:sz w:val="20"/>
          <w:szCs w:val="20"/>
          <w:lang w:val="en-US" w:eastAsia="en-US"/>
        </w:rPr>
      </w:pPr>
      <w:r>
        <w:rPr>
          <w:noProof/>
        </w:rPr>
        <w:drawing>
          <wp:inline distT="0" distB="0" distL="0" distR="0" wp14:anchorId="02CB5B34" wp14:editId="4E768307">
            <wp:extent cx="5552237" cy="2392070"/>
            <wp:effectExtent l="0" t="0" r="10795" b="273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D1DB9" w:rsidRPr="00CA4DF4">
        <w:rPr>
          <w:rFonts w:ascii="Times New Roman" w:eastAsiaTheme="minorHAnsi" w:hAnsi="Times New Roman" w:cs="Times New Roman"/>
          <w:sz w:val="20"/>
          <w:szCs w:val="20"/>
          <w:lang w:val="en-GB" w:eastAsia="en-US"/>
        </w:rPr>
        <w:t>JS</w:t>
      </w:r>
      <w:r w:rsidR="00D91CD8" w:rsidRPr="00CA4DF4">
        <w:rPr>
          <w:rFonts w:ascii="Times New Roman" w:eastAsiaTheme="minorHAnsi" w:hAnsi="Times New Roman" w:cs="Times New Roman"/>
          <w:sz w:val="20"/>
          <w:szCs w:val="20"/>
          <w:lang w:val="en-GB" w:eastAsia="en-US"/>
        </w:rPr>
        <w:t>C</w:t>
      </w:r>
      <w:r w:rsidR="002D1DB9" w:rsidRPr="00CA4DF4">
        <w:rPr>
          <w:rFonts w:ascii="Times New Roman" w:eastAsiaTheme="minorHAnsi" w:hAnsi="Times New Roman" w:cs="Times New Roman"/>
          <w:sz w:val="20"/>
          <w:szCs w:val="20"/>
          <w:lang w:val="en-GB" w:eastAsia="en-US"/>
        </w:rPr>
        <w:t xml:space="preserve"> UniCredit Bank</w:t>
      </w:r>
      <w:r w:rsidRPr="00CA4DF4">
        <w:rPr>
          <w:rFonts w:ascii="Times New Roman" w:eastAsiaTheme="minorHAnsi" w:hAnsi="Times New Roman" w:cs="Times New Roman"/>
          <w:sz w:val="20"/>
          <w:szCs w:val="20"/>
          <w:lang w:val="en-GB" w:eastAsia="en-US"/>
        </w:rPr>
        <w:t xml:space="preserve">, </w:t>
      </w:r>
      <w:r w:rsidR="002D1DB9" w:rsidRPr="00CA4DF4">
        <w:rPr>
          <w:rFonts w:ascii="Times New Roman" w:eastAsiaTheme="minorHAnsi" w:hAnsi="Times New Roman" w:cs="Times New Roman"/>
          <w:sz w:val="20"/>
          <w:szCs w:val="20"/>
          <w:lang w:val="en-US" w:eastAsia="en-US"/>
        </w:rPr>
        <w:t>PJSC Promsvyazbank</w:t>
      </w:r>
      <w:r w:rsidRPr="00CA4DF4">
        <w:rPr>
          <w:rFonts w:ascii="Times New Roman" w:eastAsiaTheme="minorHAnsi" w:hAnsi="Times New Roman" w:cs="Times New Roman"/>
          <w:sz w:val="20"/>
          <w:szCs w:val="20"/>
          <w:lang w:val="en-US" w:eastAsia="en-US"/>
        </w:rPr>
        <w:t xml:space="preserve">, </w:t>
      </w:r>
      <w:r w:rsidR="00A17934" w:rsidRPr="00CA4DF4">
        <w:rPr>
          <w:rFonts w:ascii="Times New Roman" w:eastAsiaTheme="minorHAnsi" w:hAnsi="Times New Roman" w:cs="Times New Roman"/>
          <w:sz w:val="20"/>
          <w:szCs w:val="20"/>
          <w:lang w:val="en-GB" w:eastAsia="en-US"/>
        </w:rPr>
        <w:t>JSC Raiffeisen Bank</w:t>
      </w:r>
      <w:r w:rsidRPr="00CA4DF4">
        <w:rPr>
          <w:rFonts w:ascii="Times New Roman" w:eastAsiaTheme="minorHAnsi" w:hAnsi="Times New Roman" w:cs="Times New Roman"/>
          <w:sz w:val="20"/>
          <w:szCs w:val="20"/>
          <w:lang w:val="en-GB" w:eastAsia="en-US"/>
        </w:rPr>
        <w:t xml:space="preserve">, </w:t>
      </w:r>
      <w:r w:rsidR="00487DE0" w:rsidRPr="00CA4DF4">
        <w:rPr>
          <w:rFonts w:ascii="Times New Roman" w:eastAsiaTheme="minorHAnsi" w:hAnsi="Times New Roman" w:cs="Times New Roman"/>
          <w:sz w:val="20"/>
          <w:szCs w:val="20"/>
          <w:lang w:val="en-GB" w:eastAsia="en-US"/>
        </w:rPr>
        <w:t>JSC Russian Agricultural Bank</w:t>
      </w:r>
    </w:p>
    <w:p w14:paraId="64FCA1F2" w14:textId="387B6DF4" w:rsidR="00660D57" w:rsidRPr="00CA4DF4" w:rsidRDefault="008C696E" w:rsidP="001A5614">
      <w:pPr>
        <w:widowControl w:val="0"/>
        <w:spacing w:line="360" w:lineRule="auto"/>
        <w:ind w:firstLine="708"/>
        <w:jc w:val="center"/>
        <w:rPr>
          <w:rFonts w:ascii="Times New Roman" w:eastAsiaTheme="minorHAnsi" w:hAnsi="Times New Roman" w:cs="Times New Roman"/>
          <w:sz w:val="20"/>
          <w:szCs w:val="20"/>
          <w:lang w:val="en-GB" w:eastAsia="en-US"/>
        </w:rPr>
      </w:pPr>
      <w:r w:rsidRPr="00CA4DF4">
        <w:rPr>
          <w:rFonts w:ascii="Times New Roman" w:eastAsiaTheme="minorHAnsi" w:hAnsi="Times New Roman" w:cs="Times New Roman"/>
          <w:sz w:val="20"/>
          <w:szCs w:val="20"/>
          <w:lang w:val="en-GB" w:eastAsia="en-US"/>
        </w:rPr>
        <w:t xml:space="preserve">Source: </w:t>
      </w:r>
      <w:r w:rsidR="00F8248F" w:rsidRPr="00CA4DF4">
        <w:rPr>
          <w:rFonts w:ascii="Times New Roman" w:eastAsiaTheme="minorHAnsi" w:hAnsi="Times New Roman" w:cs="Times New Roman"/>
          <w:sz w:val="20"/>
          <w:szCs w:val="20"/>
          <w:lang w:val="en-GB" w:eastAsia="en-US"/>
        </w:rPr>
        <w:t>author</w:t>
      </w:r>
      <w:r w:rsidR="00F8248F" w:rsidRPr="00CA4DF4">
        <w:rPr>
          <w:rFonts w:ascii="Times New Roman" w:eastAsiaTheme="minorHAnsi" w:hAnsi="Times New Roman" w:cs="Times New Roman"/>
          <w:sz w:val="20"/>
          <w:szCs w:val="20"/>
          <w:lang w:val="en-US" w:eastAsia="en-US"/>
        </w:rPr>
        <w:t>ing</w:t>
      </w:r>
    </w:p>
    <w:p w14:paraId="4ADDB3A1" w14:textId="57C608BE" w:rsidR="00487DE0" w:rsidRPr="00CA4DF4" w:rsidRDefault="00CA4DF4" w:rsidP="001A5614">
      <w:pPr>
        <w:widowControl w:val="0"/>
        <w:spacing w:line="360" w:lineRule="auto"/>
        <w:ind w:firstLine="708"/>
        <w:jc w:val="center"/>
        <w:rPr>
          <w:rFonts w:ascii="Times New Roman" w:eastAsiaTheme="minorHAnsi" w:hAnsi="Times New Roman" w:cs="Times New Roman"/>
          <w:sz w:val="20"/>
          <w:szCs w:val="20"/>
          <w:lang w:val="en-GB" w:eastAsia="en-US"/>
        </w:rPr>
      </w:pPr>
      <w:r>
        <w:rPr>
          <w:rFonts w:ascii="Times New Roman" w:eastAsiaTheme="minorHAnsi" w:hAnsi="Times New Roman" w:cs="Times New Roman"/>
          <w:sz w:val="20"/>
          <w:szCs w:val="20"/>
          <w:lang w:val="en-GB" w:eastAsia="en-US"/>
        </w:rPr>
        <w:t>Figure 2</w:t>
      </w:r>
      <w:r w:rsidRPr="00CA4DF4">
        <w:rPr>
          <w:rFonts w:ascii="Times New Roman" w:eastAsiaTheme="minorHAnsi" w:hAnsi="Times New Roman" w:cs="Times New Roman"/>
          <w:sz w:val="20"/>
          <w:szCs w:val="20"/>
          <w:lang w:val="en-US" w:eastAsia="en-US"/>
        </w:rPr>
        <w:t xml:space="preserve"> </w:t>
      </w:r>
      <w:r w:rsidRPr="00CA4DF4">
        <w:rPr>
          <w:rFonts w:ascii="Times New Roman" w:hAnsi="Times New Roman" w:cs="Times New Roman"/>
          <w:sz w:val="20"/>
          <w:szCs w:val="20"/>
          <w:lang w:val="en-US"/>
        </w:rPr>
        <w:t xml:space="preserve">—  </w:t>
      </w:r>
      <w:r w:rsidR="008C696E" w:rsidRPr="00CA4DF4">
        <w:rPr>
          <w:rFonts w:ascii="Times New Roman" w:eastAsiaTheme="minorHAnsi" w:hAnsi="Times New Roman" w:cs="Times New Roman"/>
          <w:sz w:val="20"/>
          <w:szCs w:val="20"/>
          <w:lang w:val="en-GB" w:eastAsia="en-US"/>
        </w:rPr>
        <w:t xml:space="preserve">The type of risk profile of Russian systemically important banks with </w:t>
      </w:r>
      <w:r w:rsidR="00487DE0" w:rsidRPr="00CA4DF4">
        <w:rPr>
          <w:rFonts w:ascii="Times New Roman" w:eastAsiaTheme="minorHAnsi" w:hAnsi="Times New Roman" w:cs="Times New Roman"/>
          <w:sz w:val="20"/>
          <w:szCs w:val="20"/>
          <w:lang w:val="en-GB" w:eastAsia="en-US"/>
        </w:rPr>
        <w:t>the dominance of a single risk</w:t>
      </w:r>
    </w:p>
    <w:p w14:paraId="364104DA" w14:textId="77777777" w:rsidR="00487DE0"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“The third type includes banks, in the risk profile of which there is no pronounced emphasis on</w:t>
      </w:r>
      <w:r w:rsidR="00487DE0">
        <w:rPr>
          <w:rFonts w:ascii="Times New Roman" w:eastAsiaTheme="minorHAnsi" w:hAnsi="Times New Roman" w:cs="Times New Roman"/>
          <w:sz w:val="28"/>
          <w:szCs w:val="28"/>
          <w:lang w:val="en-GB" w:eastAsia="en-US"/>
        </w:rPr>
        <w:t xml:space="preserve"> any risk” [6, p.37] (Fig. 3).</w:t>
      </w:r>
    </w:p>
    <w:p w14:paraId="02B3B0CA" w14:textId="08346D50" w:rsidR="00EF3216" w:rsidRPr="00CA4DF4" w:rsidRDefault="00F8248F" w:rsidP="001A5614">
      <w:pPr>
        <w:widowControl w:val="0"/>
        <w:spacing w:line="360" w:lineRule="auto"/>
        <w:jc w:val="center"/>
        <w:rPr>
          <w:rFonts w:ascii="Times New Roman" w:eastAsiaTheme="minorHAnsi" w:hAnsi="Times New Roman" w:cs="Times New Roman"/>
          <w:sz w:val="20"/>
          <w:szCs w:val="20"/>
          <w:lang w:val="en-GB" w:eastAsia="en-US"/>
        </w:rPr>
      </w:pPr>
      <w:r>
        <w:rPr>
          <w:noProof/>
        </w:rPr>
        <w:lastRenderedPageBreak/>
        <w:drawing>
          <wp:inline distT="0" distB="0" distL="0" distR="0" wp14:anchorId="464FE6EC" wp14:editId="7B220FB5">
            <wp:extent cx="5936615" cy="2604791"/>
            <wp:effectExtent l="0" t="0" r="26035" b="2413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A7F18" w:rsidRPr="00CA4DF4">
        <w:rPr>
          <w:rFonts w:ascii="Times New Roman" w:eastAsiaTheme="minorHAnsi" w:hAnsi="Times New Roman" w:cs="Times New Roman"/>
          <w:sz w:val="20"/>
          <w:szCs w:val="20"/>
          <w:lang w:val="en-GB" w:eastAsia="en-US"/>
        </w:rPr>
        <w:t>JSC Alfa-Bank</w:t>
      </w:r>
      <w:r w:rsidRPr="00CA4DF4">
        <w:rPr>
          <w:rFonts w:ascii="Times New Roman" w:eastAsiaTheme="minorHAnsi" w:hAnsi="Times New Roman" w:cs="Times New Roman"/>
          <w:sz w:val="20"/>
          <w:szCs w:val="20"/>
          <w:lang w:val="en-GB" w:eastAsia="en-US"/>
        </w:rPr>
        <w:t xml:space="preserve">, </w:t>
      </w:r>
      <w:r w:rsidR="00EF3216" w:rsidRPr="00CA4DF4">
        <w:rPr>
          <w:rFonts w:ascii="Times New Roman" w:eastAsiaTheme="minorHAnsi" w:hAnsi="Times New Roman" w:cs="Times New Roman"/>
          <w:sz w:val="20"/>
          <w:szCs w:val="20"/>
          <w:lang w:val="en-US" w:eastAsia="en-US"/>
        </w:rPr>
        <w:t>PJSC</w:t>
      </w:r>
      <w:r w:rsidR="00EF3216" w:rsidRPr="00CA4DF4">
        <w:rPr>
          <w:rFonts w:ascii="Times New Roman" w:eastAsiaTheme="minorHAnsi" w:hAnsi="Times New Roman" w:cs="Times New Roman"/>
          <w:sz w:val="20"/>
          <w:szCs w:val="20"/>
          <w:lang w:val="en-GB" w:eastAsia="en-US"/>
        </w:rPr>
        <w:t xml:space="preserve"> Bank Otkritie Financial Corporation</w:t>
      </w:r>
      <w:r w:rsidRPr="00CA4DF4">
        <w:rPr>
          <w:rFonts w:ascii="Times New Roman" w:eastAsiaTheme="minorHAnsi" w:hAnsi="Times New Roman" w:cs="Times New Roman"/>
          <w:sz w:val="20"/>
          <w:szCs w:val="20"/>
          <w:lang w:val="en-GB" w:eastAsia="en-US"/>
        </w:rPr>
        <w:t xml:space="preserve">, </w:t>
      </w:r>
      <w:r w:rsidR="00EF3216" w:rsidRPr="00CA4DF4">
        <w:rPr>
          <w:rFonts w:ascii="Times New Roman" w:eastAsiaTheme="minorHAnsi" w:hAnsi="Times New Roman" w:cs="Times New Roman"/>
          <w:sz w:val="20"/>
          <w:szCs w:val="20"/>
          <w:lang w:val="en-GB" w:eastAsia="en-US"/>
        </w:rPr>
        <w:t>PJSC Rosbank</w:t>
      </w:r>
      <w:r w:rsidR="00660D57" w:rsidRPr="00CA4DF4">
        <w:rPr>
          <w:rFonts w:ascii="Times New Roman" w:eastAsiaTheme="minorHAnsi" w:hAnsi="Times New Roman" w:cs="Times New Roman"/>
          <w:sz w:val="20"/>
          <w:szCs w:val="20"/>
          <w:lang w:val="en-GB" w:eastAsia="en-US"/>
        </w:rPr>
        <w:t xml:space="preserve"> – Societe Generale Group</w:t>
      </w:r>
    </w:p>
    <w:p w14:paraId="4291D48E" w14:textId="744411F7" w:rsidR="00660D57" w:rsidRPr="00CA4DF4" w:rsidRDefault="008C696E" w:rsidP="001A5614">
      <w:pPr>
        <w:widowControl w:val="0"/>
        <w:spacing w:line="360" w:lineRule="auto"/>
        <w:ind w:firstLine="708"/>
        <w:jc w:val="center"/>
        <w:rPr>
          <w:rFonts w:ascii="Times New Roman" w:eastAsiaTheme="minorHAnsi" w:hAnsi="Times New Roman" w:cs="Times New Roman"/>
          <w:sz w:val="20"/>
          <w:szCs w:val="20"/>
          <w:lang w:val="en-GB" w:eastAsia="en-US"/>
        </w:rPr>
      </w:pPr>
      <w:r w:rsidRPr="00CA4DF4">
        <w:rPr>
          <w:rFonts w:ascii="Times New Roman" w:eastAsiaTheme="minorHAnsi" w:hAnsi="Times New Roman" w:cs="Times New Roman"/>
          <w:sz w:val="20"/>
          <w:szCs w:val="20"/>
          <w:lang w:val="en-GB" w:eastAsia="en-US"/>
        </w:rPr>
        <w:t xml:space="preserve">Source: </w:t>
      </w:r>
      <w:r w:rsidR="00F8248F" w:rsidRPr="00CA4DF4">
        <w:rPr>
          <w:rFonts w:ascii="Times New Roman" w:eastAsiaTheme="minorHAnsi" w:hAnsi="Times New Roman" w:cs="Times New Roman"/>
          <w:sz w:val="20"/>
          <w:szCs w:val="20"/>
          <w:lang w:val="en-GB" w:eastAsia="en-US"/>
        </w:rPr>
        <w:t>author</w:t>
      </w:r>
      <w:r w:rsidR="00F8248F" w:rsidRPr="00CA4DF4">
        <w:rPr>
          <w:rFonts w:ascii="Times New Roman" w:eastAsiaTheme="minorHAnsi" w:hAnsi="Times New Roman" w:cs="Times New Roman"/>
          <w:sz w:val="20"/>
          <w:szCs w:val="20"/>
          <w:lang w:val="en-US" w:eastAsia="en-US"/>
        </w:rPr>
        <w:t>ing</w:t>
      </w:r>
    </w:p>
    <w:p w14:paraId="6F9414A4" w14:textId="368E5763" w:rsidR="00660D57" w:rsidRPr="00CA4DF4" w:rsidRDefault="00CA4DF4" w:rsidP="001A5614">
      <w:pPr>
        <w:widowControl w:val="0"/>
        <w:spacing w:line="360" w:lineRule="auto"/>
        <w:ind w:firstLine="708"/>
        <w:jc w:val="center"/>
        <w:rPr>
          <w:rFonts w:ascii="Times New Roman" w:eastAsiaTheme="minorHAnsi" w:hAnsi="Times New Roman" w:cs="Times New Roman"/>
          <w:sz w:val="20"/>
          <w:szCs w:val="20"/>
          <w:lang w:val="en-GB" w:eastAsia="en-US"/>
        </w:rPr>
      </w:pPr>
      <w:r>
        <w:rPr>
          <w:rFonts w:ascii="Times New Roman" w:eastAsiaTheme="minorHAnsi" w:hAnsi="Times New Roman" w:cs="Times New Roman"/>
          <w:sz w:val="20"/>
          <w:szCs w:val="20"/>
          <w:lang w:val="en-GB" w:eastAsia="en-US"/>
        </w:rPr>
        <w:t>Figure 3</w:t>
      </w:r>
      <w:r w:rsidRPr="00CA4DF4">
        <w:rPr>
          <w:rFonts w:ascii="Times New Roman" w:eastAsiaTheme="minorHAnsi" w:hAnsi="Times New Roman" w:cs="Times New Roman"/>
          <w:sz w:val="20"/>
          <w:szCs w:val="20"/>
          <w:lang w:val="en-US" w:eastAsia="en-US"/>
        </w:rPr>
        <w:t xml:space="preserve"> </w:t>
      </w:r>
      <w:r w:rsidRPr="00CA4DF4">
        <w:rPr>
          <w:rFonts w:ascii="Times New Roman" w:hAnsi="Times New Roman" w:cs="Times New Roman"/>
          <w:sz w:val="20"/>
          <w:szCs w:val="20"/>
          <w:lang w:val="en-US"/>
        </w:rPr>
        <w:t xml:space="preserve">—  </w:t>
      </w:r>
      <w:r w:rsidR="008C696E" w:rsidRPr="00CA4DF4">
        <w:rPr>
          <w:rFonts w:ascii="Times New Roman" w:eastAsiaTheme="minorHAnsi" w:hAnsi="Times New Roman" w:cs="Times New Roman"/>
          <w:sz w:val="20"/>
          <w:szCs w:val="20"/>
          <w:lang w:val="en-GB" w:eastAsia="en-US"/>
        </w:rPr>
        <w:t>The type of risk profile of Russian systemically important banks with no expressed emphasis on a particular risk</w:t>
      </w:r>
    </w:p>
    <w:p w14:paraId="1EE8CC3E" w14:textId="77777777" w:rsidR="00660D57" w:rsidRDefault="00660D57" w:rsidP="001A5614">
      <w:pPr>
        <w:widowControl w:val="0"/>
        <w:spacing w:line="360" w:lineRule="auto"/>
        <w:ind w:firstLine="708"/>
        <w:jc w:val="center"/>
        <w:rPr>
          <w:rFonts w:ascii="Times New Roman" w:eastAsiaTheme="minorHAnsi" w:hAnsi="Times New Roman" w:cs="Times New Roman"/>
          <w:sz w:val="28"/>
          <w:szCs w:val="28"/>
          <w:lang w:val="en-GB" w:eastAsia="en-US"/>
        </w:rPr>
      </w:pPr>
    </w:p>
    <w:p w14:paraId="63F03951" w14:textId="77777777" w:rsidR="00660D57"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The results of typologization show that “banks that have risk profiles with dominance of one or two risks are vulnerable to the risks of money laundering and terrorist financing” [6, p.38].</w:t>
      </w:r>
    </w:p>
    <w:p w14:paraId="11D3CD9E" w14:textId="2BA432D2" w:rsidR="00660D57"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As for the risk profile of </w:t>
      </w:r>
      <w:r w:rsidR="005219AA">
        <w:rPr>
          <w:rFonts w:ascii="Times New Roman" w:eastAsiaTheme="minorHAnsi" w:hAnsi="Times New Roman" w:cs="Times New Roman"/>
          <w:sz w:val="28"/>
          <w:szCs w:val="28"/>
          <w:lang w:val="en-GB" w:eastAsia="en-US"/>
        </w:rPr>
        <w:t xml:space="preserve">the </w:t>
      </w:r>
      <w:r w:rsidRPr="008C696E">
        <w:rPr>
          <w:rFonts w:ascii="Times New Roman" w:eastAsiaTheme="minorHAnsi" w:hAnsi="Times New Roman" w:cs="Times New Roman"/>
          <w:sz w:val="28"/>
          <w:szCs w:val="28"/>
          <w:lang w:val="en-GB" w:eastAsia="en-US"/>
        </w:rPr>
        <w:t xml:space="preserve">Public Joint-Stock Company “Bank Otkritie Financial Corporation”, Figure 4 shows an increase in the levels of operational, reputational and country risks in the period </w:t>
      </w:r>
      <w:r w:rsidR="005219AA">
        <w:rPr>
          <w:rFonts w:ascii="Times New Roman" w:eastAsiaTheme="minorHAnsi" w:hAnsi="Times New Roman" w:cs="Times New Roman"/>
          <w:sz w:val="28"/>
          <w:szCs w:val="28"/>
          <w:lang w:val="en-GB" w:eastAsia="en-US"/>
        </w:rPr>
        <w:t xml:space="preserve">from </w:t>
      </w:r>
      <w:r w:rsidRPr="008C696E">
        <w:rPr>
          <w:rFonts w:ascii="Times New Roman" w:eastAsiaTheme="minorHAnsi" w:hAnsi="Times New Roman" w:cs="Times New Roman"/>
          <w:sz w:val="28"/>
          <w:szCs w:val="28"/>
          <w:lang w:val="en-GB" w:eastAsia="en-US"/>
        </w:rPr>
        <w:t xml:space="preserve">2014 </w:t>
      </w:r>
      <w:r w:rsidR="005219AA">
        <w:rPr>
          <w:rFonts w:ascii="Times New Roman" w:eastAsiaTheme="minorHAnsi" w:hAnsi="Times New Roman" w:cs="Times New Roman"/>
          <w:sz w:val="28"/>
          <w:szCs w:val="28"/>
          <w:lang w:val="en-GB" w:eastAsia="en-US"/>
        </w:rPr>
        <w:t xml:space="preserve">to </w:t>
      </w:r>
      <w:r w:rsidRPr="008C696E">
        <w:rPr>
          <w:rFonts w:ascii="Times New Roman" w:eastAsiaTheme="minorHAnsi" w:hAnsi="Times New Roman" w:cs="Times New Roman"/>
          <w:sz w:val="28"/>
          <w:szCs w:val="28"/>
          <w:lang w:val="en-GB" w:eastAsia="en-US"/>
        </w:rPr>
        <w:t>2016.</w:t>
      </w:r>
    </w:p>
    <w:p w14:paraId="72722B63" w14:textId="77777777" w:rsidR="00F8248F" w:rsidRDefault="00F8248F" w:rsidP="001A5614">
      <w:pPr>
        <w:widowControl w:val="0"/>
        <w:spacing w:line="360" w:lineRule="auto"/>
        <w:ind w:firstLine="708"/>
        <w:jc w:val="both"/>
        <w:rPr>
          <w:rFonts w:ascii="Times New Roman" w:eastAsiaTheme="minorHAnsi" w:hAnsi="Times New Roman" w:cs="Times New Roman"/>
          <w:sz w:val="28"/>
          <w:szCs w:val="28"/>
          <w:lang w:val="en-GB" w:eastAsia="en-US"/>
        </w:rPr>
      </w:pPr>
    </w:p>
    <w:p w14:paraId="20F75C25" w14:textId="3BEE8E6E" w:rsidR="00F8248F" w:rsidRDefault="00F8248F" w:rsidP="001A5614">
      <w:pPr>
        <w:widowControl w:val="0"/>
        <w:spacing w:line="360" w:lineRule="auto"/>
        <w:jc w:val="both"/>
        <w:rPr>
          <w:rFonts w:ascii="Times New Roman" w:eastAsiaTheme="minorHAnsi" w:hAnsi="Times New Roman" w:cs="Times New Roman"/>
          <w:sz w:val="28"/>
          <w:szCs w:val="28"/>
          <w:lang w:val="en-GB" w:eastAsia="en-US"/>
        </w:rPr>
      </w:pPr>
      <w:r>
        <w:rPr>
          <w:noProof/>
        </w:rPr>
        <w:lastRenderedPageBreak/>
        <w:drawing>
          <wp:inline distT="0" distB="0" distL="0" distR="0" wp14:anchorId="49DAF8C3" wp14:editId="7B4995E6">
            <wp:extent cx="5613010" cy="3319976"/>
            <wp:effectExtent l="0" t="0" r="26035" b="1397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E8D323" w14:textId="5108813B" w:rsidR="00F8248F" w:rsidRPr="00CA4DF4" w:rsidRDefault="008C696E" w:rsidP="001A5614">
      <w:pPr>
        <w:widowControl w:val="0"/>
        <w:spacing w:line="360" w:lineRule="auto"/>
        <w:ind w:firstLine="708"/>
        <w:jc w:val="center"/>
        <w:rPr>
          <w:rFonts w:ascii="Times New Roman" w:eastAsiaTheme="minorHAnsi" w:hAnsi="Times New Roman" w:cs="Times New Roman"/>
          <w:sz w:val="20"/>
          <w:szCs w:val="20"/>
          <w:lang w:val="en-GB" w:eastAsia="en-US"/>
        </w:rPr>
      </w:pPr>
      <w:r w:rsidRPr="00CA4DF4">
        <w:rPr>
          <w:rFonts w:ascii="Times New Roman" w:eastAsiaTheme="minorHAnsi" w:hAnsi="Times New Roman" w:cs="Times New Roman"/>
          <w:sz w:val="20"/>
          <w:szCs w:val="20"/>
          <w:lang w:val="en-GB" w:eastAsia="en-US"/>
        </w:rPr>
        <w:t xml:space="preserve">Source: </w:t>
      </w:r>
      <w:r w:rsidR="00F8248F" w:rsidRPr="00CA4DF4">
        <w:rPr>
          <w:rFonts w:ascii="Times New Roman" w:eastAsiaTheme="minorHAnsi" w:hAnsi="Times New Roman" w:cs="Times New Roman"/>
          <w:sz w:val="20"/>
          <w:szCs w:val="20"/>
          <w:lang w:val="en-GB" w:eastAsia="en-US"/>
        </w:rPr>
        <w:t>author</w:t>
      </w:r>
      <w:r w:rsidR="00F8248F" w:rsidRPr="00CA4DF4">
        <w:rPr>
          <w:rFonts w:ascii="Times New Roman" w:eastAsiaTheme="minorHAnsi" w:hAnsi="Times New Roman" w:cs="Times New Roman"/>
          <w:sz w:val="20"/>
          <w:szCs w:val="20"/>
          <w:lang w:val="en-US" w:eastAsia="en-US"/>
        </w:rPr>
        <w:t>ing</w:t>
      </w:r>
    </w:p>
    <w:p w14:paraId="2EC8B25C" w14:textId="27E6624E" w:rsidR="00660D57" w:rsidRPr="00CA4DF4" w:rsidRDefault="00CA4DF4" w:rsidP="001A5614">
      <w:pPr>
        <w:widowControl w:val="0"/>
        <w:spacing w:line="360" w:lineRule="auto"/>
        <w:ind w:firstLine="708"/>
        <w:jc w:val="center"/>
        <w:rPr>
          <w:rFonts w:ascii="Times New Roman" w:eastAsiaTheme="minorHAnsi" w:hAnsi="Times New Roman" w:cs="Times New Roman"/>
          <w:sz w:val="20"/>
          <w:szCs w:val="20"/>
          <w:lang w:val="en-GB" w:eastAsia="en-US"/>
        </w:rPr>
      </w:pPr>
      <w:r>
        <w:rPr>
          <w:rFonts w:ascii="Times New Roman" w:eastAsiaTheme="minorHAnsi" w:hAnsi="Times New Roman" w:cs="Times New Roman"/>
          <w:sz w:val="20"/>
          <w:szCs w:val="20"/>
          <w:lang w:val="en-GB" w:eastAsia="en-US"/>
        </w:rPr>
        <w:t>Figure 4</w:t>
      </w:r>
      <w:r w:rsidRPr="00CA4DF4">
        <w:rPr>
          <w:rFonts w:ascii="Times New Roman" w:eastAsiaTheme="minorHAnsi" w:hAnsi="Times New Roman" w:cs="Times New Roman"/>
          <w:sz w:val="20"/>
          <w:szCs w:val="20"/>
          <w:lang w:val="en-US" w:eastAsia="en-US"/>
        </w:rPr>
        <w:t xml:space="preserve"> </w:t>
      </w:r>
      <w:r w:rsidRPr="00CA4DF4">
        <w:rPr>
          <w:rFonts w:ascii="Times New Roman" w:hAnsi="Times New Roman" w:cs="Times New Roman"/>
          <w:sz w:val="20"/>
          <w:szCs w:val="20"/>
          <w:lang w:val="en-US"/>
        </w:rPr>
        <w:t xml:space="preserve">— </w:t>
      </w:r>
      <w:r w:rsidR="008C696E" w:rsidRPr="00CA4DF4">
        <w:rPr>
          <w:rFonts w:ascii="Times New Roman" w:eastAsiaTheme="minorHAnsi" w:hAnsi="Times New Roman" w:cs="Times New Roman"/>
          <w:sz w:val="20"/>
          <w:szCs w:val="20"/>
          <w:lang w:val="en-GB" w:eastAsia="en-US"/>
        </w:rPr>
        <w:t>Change in the risk profile of Public Joint-Stock Company “Bank Otkritie Financial Corporation” in 2014-2016</w:t>
      </w:r>
    </w:p>
    <w:p w14:paraId="646F30F0" w14:textId="77777777" w:rsidR="00660D57" w:rsidRDefault="00660D57" w:rsidP="001A5614">
      <w:pPr>
        <w:widowControl w:val="0"/>
        <w:spacing w:line="360" w:lineRule="auto"/>
        <w:ind w:firstLine="708"/>
        <w:jc w:val="both"/>
        <w:rPr>
          <w:rFonts w:ascii="Times New Roman" w:eastAsiaTheme="minorHAnsi" w:hAnsi="Times New Roman" w:cs="Times New Roman"/>
          <w:sz w:val="28"/>
          <w:szCs w:val="28"/>
          <w:lang w:val="en-GB" w:eastAsia="en-US"/>
        </w:rPr>
      </w:pPr>
    </w:p>
    <w:p w14:paraId="18B545E6" w14:textId="7E041845"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Thus, additional testing of the author's methodology for 2014-2016 for the Public Joint-Stock Company “Bank Otkritie Financial Corporation” shows the accumulation of vulnerabilities of this bank, resulting in the application of financial recovery measures to it in 2017. We believe that this demonstrates the possibility and effectiveness of using the author's methodology for determining zones of banks' vulnerability to ML/FT risks for preventive respons</w:t>
      </w:r>
      <w:r w:rsidR="007A1E15">
        <w:rPr>
          <w:rFonts w:ascii="Times New Roman" w:eastAsiaTheme="minorHAnsi" w:hAnsi="Times New Roman" w:cs="Times New Roman"/>
          <w:sz w:val="28"/>
          <w:szCs w:val="28"/>
          <w:lang w:val="en-GB" w:eastAsia="en-US"/>
        </w:rPr>
        <w:t>e</w:t>
      </w:r>
      <w:r w:rsidR="00552B7C">
        <w:rPr>
          <w:rFonts w:ascii="Times New Roman" w:eastAsiaTheme="minorHAnsi" w:hAnsi="Times New Roman" w:cs="Times New Roman"/>
          <w:sz w:val="28"/>
          <w:szCs w:val="28"/>
          <w:lang w:val="en-GB" w:eastAsia="en-US"/>
        </w:rPr>
        <w:t>s</w:t>
      </w:r>
      <w:r w:rsidR="007A1E15">
        <w:rPr>
          <w:rFonts w:ascii="Times New Roman" w:eastAsiaTheme="minorHAnsi" w:hAnsi="Times New Roman" w:cs="Times New Roman"/>
          <w:sz w:val="28"/>
          <w:szCs w:val="28"/>
          <w:lang w:val="en-GB" w:eastAsia="en-US"/>
        </w:rPr>
        <w:t xml:space="preserve"> to risks.</w:t>
      </w:r>
    </w:p>
    <w:p w14:paraId="7D4752CE" w14:textId="77777777" w:rsidR="007A1E15" w:rsidRPr="00CA4DF4" w:rsidRDefault="007A1E15" w:rsidP="001A5614">
      <w:pPr>
        <w:widowControl w:val="0"/>
        <w:spacing w:before="240" w:line="360" w:lineRule="auto"/>
        <w:ind w:firstLine="708"/>
        <w:jc w:val="both"/>
        <w:rPr>
          <w:rFonts w:ascii="Times New Roman" w:eastAsiaTheme="minorHAnsi" w:hAnsi="Times New Roman" w:cs="Times New Roman"/>
          <w:b/>
          <w:sz w:val="28"/>
          <w:szCs w:val="28"/>
          <w:lang w:val="en-GB" w:eastAsia="en-US"/>
        </w:rPr>
      </w:pPr>
      <w:r w:rsidRPr="00CA4DF4">
        <w:rPr>
          <w:rFonts w:ascii="Times New Roman" w:eastAsiaTheme="minorHAnsi" w:hAnsi="Times New Roman" w:cs="Times New Roman"/>
          <w:b/>
          <w:sz w:val="28"/>
          <w:szCs w:val="28"/>
          <w:lang w:val="en-GB" w:eastAsia="en-US"/>
        </w:rPr>
        <w:t>Discussion</w:t>
      </w:r>
    </w:p>
    <w:p w14:paraId="3440A944" w14:textId="77777777"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Analysis of risk profiles of Russian banks allows us to conclude on the following vulnerability zones for Russian systemically important banks: “1) correspondent relations with foreign banks and foreign trade contracts; 2) the actions of bank customers, counterparties and employees, forming a business reputation of banks” [6, p.38].</w:t>
      </w:r>
    </w:p>
    <w:p w14:paraId="2FAA5611" w14:textId="6DBDA8A1"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In order to reduce the vulnerability of correspondent relations with foreign banks and transactions in foreign trade contracts to ML/FT risks, we believe it is possible to recommend to Russian banks the analysis of counterparty countries in </w:t>
      </w:r>
      <w:r w:rsidRPr="008C696E">
        <w:rPr>
          <w:rFonts w:ascii="Times New Roman" w:eastAsiaTheme="minorHAnsi" w:hAnsi="Times New Roman" w:cs="Times New Roman"/>
          <w:sz w:val="28"/>
          <w:szCs w:val="28"/>
          <w:lang w:val="en-GB" w:eastAsia="en-US"/>
        </w:rPr>
        <w:lastRenderedPageBreak/>
        <w:t>foreign economic transactions, which will supplement the country</w:t>
      </w:r>
      <w:r w:rsidR="00D557AE">
        <w:rPr>
          <w:rFonts w:ascii="Times New Roman" w:eastAsiaTheme="minorHAnsi" w:hAnsi="Times New Roman" w:cs="Times New Roman"/>
          <w:sz w:val="28"/>
          <w:szCs w:val="28"/>
          <w:lang w:val="en-GB" w:eastAsia="en-US"/>
        </w:rPr>
        <w:t>’s</w:t>
      </w:r>
      <w:r w:rsidRPr="008C696E">
        <w:rPr>
          <w:rFonts w:ascii="Times New Roman" w:eastAsiaTheme="minorHAnsi" w:hAnsi="Times New Roman" w:cs="Times New Roman"/>
          <w:sz w:val="28"/>
          <w:szCs w:val="28"/>
          <w:lang w:val="en-GB" w:eastAsia="en-US"/>
        </w:rPr>
        <w:t xml:space="preserve"> risk assessment with the results of the position evaluation in the international AML/CFT system. </w:t>
      </w:r>
      <w:r w:rsidR="00194FDD">
        <w:rPr>
          <w:rFonts w:ascii="Times New Roman" w:eastAsiaTheme="minorHAnsi" w:hAnsi="Times New Roman" w:cs="Times New Roman"/>
          <w:sz w:val="28"/>
          <w:szCs w:val="28"/>
          <w:lang w:val="en-GB" w:eastAsia="en-US"/>
        </w:rPr>
        <w:t>By</w:t>
      </w:r>
      <w:r w:rsidRPr="008C696E">
        <w:rPr>
          <w:rFonts w:ascii="Times New Roman" w:eastAsiaTheme="minorHAnsi" w:hAnsi="Times New Roman" w:cs="Times New Roman"/>
          <w:sz w:val="28"/>
          <w:szCs w:val="28"/>
          <w:lang w:val="en-GB" w:eastAsia="en-US"/>
        </w:rPr>
        <w:t xml:space="preserve"> the country's position in the international AML/CFT system, we mean the count</w:t>
      </w:r>
      <w:r w:rsidR="00194FDD">
        <w:rPr>
          <w:rFonts w:ascii="Times New Roman" w:eastAsiaTheme="minorHAnsi" w:hAnsi="Times New Roman" w:cs="Times New Roman"/>
          <w:sz w:val="28"/>
          <w:szCs w:val="28"/>
          <w:lang w:val="en-GB" w:eastAsia="en-US"/>
        </w:rPr>
        <w:t>ry's membership in the FATF and</w:t>
      </w:r>
      <w:r w:rsidRPr="008C696E">
        <w:rPr>
          <w:rFonts w:ascii="Times New Roman" w:eastAsiaTheme="minorHAnsi" w:hAnsi="Times New Roman" w:cs="Times New Roman"/>
          <w:sz w:val="28"/>
          <w:szCs w:val="28"/>
          <w:lang w:val="en-GB" w:eastAsia="en-US"/>
        </w:rPr>
        <w:t xml:space="preserve">/or </w:t>
      </w:r>
      <w:r w:rsidR="002237F3" w:rsidRPr="008C696E">
        <w:rPr>
          <w:rFonts w:ascii="Times New Roman" w:eastAsiaTheme="minorHAnsi" w:hAnsi="Times New Roman" w:cs="Times New Roman"/>
          <w:sz w:val="28"/>
          <w:szCs w:val="28"/>
          <w:lang w:val="en-GB" w:eastAsia="en-US"/>
        </w:rPr>
        <w:t>FATF</w:t>
      </w:r>
      <w:r w:rsidR="002237F3">
        <w:rPr>
          <w:rFonts w:ascii="Times New Roman" w:eastAsiaTheme="minorHAnsi" w:hAnsi="Times New Roman" w:cs="Times New Roman"/>
          <w:sz w:val="28"/>
          <w:szCs w:val="28"/>
          <w:lang w:val="en-GB" w:eastAsia="en-US"/>
        </w:rPr>
        <w:t>-style</w:t>
      </w:r>
      <w:r w:rsidR="002237F3" w:rsidRPr="008C696E">
        <w:rPr>
          <w:rFonts w:ascii="Times New Roman" w:eastAsiaTheme="minorHAnsi" w:hAnsi="Times New Roman" w:cs="Times New Roman"/>
          <w:sz w:val="28"/>
          <w:szCs w:val="28"/>
          <w:lang w:val="en-GB" w:eastAsia="en-US"/>
        </w:rPr>
        <w:t xml:space="preserve"> </w:t>
      </w:r>
      <w:r w:rsidRPr="008C696E">
        <w:rPr>
          <w:rFonts w:ascii="Times New Roman" w:eastAsiaTheme="minorHAnsi" w:hAnsi="Times New Roman" w:cs="Times New Roman"/>
          <w:sz w:val="28"/>
          <w:szCs w:val="28"/>
          <w:lang w:val="en-GB" w:eastAsia="en-US"/>
        </w:rPr>
        <w:t xml:space="preserve">regional groups, as well as the results of the procedure for assessing the implementation by </w:t>
      </w:r>
      <w:r w:rsidR="002237F3">
        <w:rPr>
          <w:rFonts w:ascii="Times New Roman" w:eastAsiaTheme="minorHAnsi" w:hAnsi="Times New Roman" w:cs="Times New Roman"/>
          <w:sz w:val="28"/>
          <w:szCs w:val="28"/>
          <w:lang w:val="en-GB" w:eastAsia="en-US"/>
        </w:rPr>
        <w:t xml:space="preserve">the </w:t>
      </w:r>
      <w:r w:rsidRPr="008C696E">
        <w:rPr>
          <w:rFonts w:ascii="Times New Roman" w:eastAsiaTheme="minorHAnsi" w:hAnsi="Times New Roman" w:cs="Times New Roman"/>
          <w:sz w:val="28"/>
          <w:szCs w:val="28"/>
          <w:lang w:val="en-GB" w:eastAsia="en-US"/>
        </w:rPr>
        <w:t>countries of the FATF Recommendations.</w:t>
      </w:r>
    </w:p>
    <w:p w14:paraId="34B4A524" w14:textId="627F8B29"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In order to protect clients, counterparties and employees of the bank from unfair and improper actions that may lead to the disclosure of information about the insufficient effectiveness of the internal control system or the involvement of the credit institution in illegal financial transactions, we believe it is possible to recommend to the Bank of Russia to include </w:t>
      </w:r>
      <w:r w:rsidR="002237F3" w:rsidRPr="008C696E">
        <w:rPr>
          <w:rFonts w:ascii="Times New Roman" w:eastAsiaTheme="minorHAnsi" w:hAnsi="Times New Roman" w:cs="Times New Roman"/>
          <w:sz w:val="28"/>
          <w:szCs w:val="28"/>
          <w:lang w:val="en-GB" w:eastAsia="en-US"/>
        </w:rPr>
        <w:t>evaluation of reputational risk on a regular and possibly uniform methodol</w:t>
      </w:r>
      <w:r w:rsidR="002237F3">
        <w:rPr>
          <w:rFonts w:ascii="Times New Roman" w:eastAsiaTheme="minorHAnsi" w:hAnsi="Times New Roman" w:cs="Times New Roman"/>
          <w:sz w:val="28"/>
          <w:szCs w:val="28"/>
          <w:lang w:val="en-GB" w:eastAsia="en-US"/>
        </w:rPr>
        <w:t>ogical basis</w:t>
      </w:r>
      <w:r w:rsidR="002237F3" w:rsidRPr="008C696E">
        <w:rPr>
          <w:rFonts w:ascii="Times New Roman" w:eastAsiaTheme="minorHAnsi" w:hAnsi="Times New Roman" w:cs="Times New Roman"/>
          <w:sz w:val="28"/>
          <w:szCs w:val="28"/>
          <w:lang w:val="en-GB" w:eastAsia="en-US"/>
        </w:rPr>
        <w:t xml:space="preserve"> </w:t>
      </w:r>
      <w:r w:rsidRPr="008C696E">
        <w:rPr>
          <w:rFonts w:ascii="Times New Roman" w:eastAsiaTheme="minorHAnsi" w:hAnsi="Times New Roman" w:cs="Times New Roman"/>
          <w:sz w:val="28"/>
          <w:szCs w:val="28"/>
          <w:lang w:val="en-GB" w:eastAsia="en-US"/>
        </w:rPr>
        <w:t>in</w:t>
      </w:r>
      <w:r w:rsidR="002237F3">
        <w:rPr>
          <w:rFonts w:ascii="Times New Roman" w:eastAsiaTheme="minorHAnsi" w:hAnsi="Times New Roman" w:cs="Times New Roman"/>
          <w:sz w:val="28"/>
          <w:szCs w:val="28"/>
          <w:lang w:val="en-GB" w:eastAsia="en-US"/>
        </w:rPr>
        <w:t>to</w:t>
      </w:r>
      <w:r w:rsidRPr="008C696E">
        <w:rPr>
          <w:rFonts w:ascii="Times New Roman" w:eastAsiaTheme="minorHAnsi" w:hAnsi="Times New Roman" w:cs="Times New Roman"/>
          <w:sz w:val="28"/>
          <w:szCs w:val="28"/>
          <w:lang w:val="en-GB" w:eastAsia="en-US"/>
        </w:rPr>
        <w:t xml:space="preserve"> the range of </w:t>
      </w:r>
      <w:r w:rsidR="002237F3" w:rsidRPr="008C696E">
        <w:rPr>
          <w:rFonts w:ascii="Times New Roman" w:eastAsiaTheme="minorHAnsi" w:hAnsi="Times New Roman" w:cs="Times New Roman"/>
          <w:sz w:val="28"/>
          <w:szCs w:val="28"/>
          <w:lang w:val="en-GB" w:eastAsia="en-US"/>
        </w:rPr>
        <w:t xml:space="preserve">instruments </w:t>
      </w:r>
      <w:r w:rsidR="002237F3">
        <w:rPr>
          <w:rFonts w:ascii="Times New Roman" w:eastAsiaTheme="minorHAnsi" w:hAnsi="Times New Roman" w:cs="Times New Roman"/>
          <w:sz w:val="28"/>
          <w:szCs w:val="28"/>
          <w:lang w:val="en-GB" w:eastAsia="en-US"/>
        </w:rPr>
        <w:t xml:space="preserve">for </w:t>
      </w:r>
      <w:r w:rsidRPr="008C696E">
        <w:rPr>
          <w:rFonts w:ascii="Times New Roman" w:eastAsiaTheme="minorHAnsi" w:hAnsi="Times New Roman" w:cs="Times New Roman"/>
          <w:sz w:val="28"/>
          <w:szCs w:val="28"/>
          <w:lang w:val="en-GB" w:eastAsia="en-US"/>
        </w:rPr>
        <w:t>banking regulation and supervision</w:t>
      </w:r>
      <w:r w:rsidR="007A1E15">
        <w:rPr>
          <w:rFonts w:ascii="Times New Roman" w:eastAsiaTheme="minorHAnsi" w:hAnsi="Times New Roman" w:cs="Times New Roman"/>
          <w:sz w:val="28"/>
          <w:szCs w:val="28"/>
          <w:lang w:val="en-GB" w:eastAsia="en-US"/>
        </w:rPr>
        <w:t>.</w:t>
      </w:r>
    </w:p>
    <w:p w14:paraId="11301D30" w14:textId="77777777" w:rsidR="007A1E15" w:rsidRPr="00CA4DF4" w:rsidRDefault="007A1E15" w:rsidP="001A5614">
      <w:pPr>
        <w:widowControl w:val="0"/>
        <w:spacing w:before="240" w:line="360" w:lineRule="auto"/>
        <w:ind w:firstLine="708"/>
        <w:jc w:val="both"/>
        <w:rPr>
          <w:rFonts w:ascii="Times New Roman" w:eastAsiaTheme="minorHAnsi" w:hAnsi="Times New Roman" w:cs="Times New Roman"/>
          <w:b/>
          <w:sz w:val="28"/>
          <w:szCs w:val="28"/>
          <w:lang w:val="en-GB" w:eastAsia="en-US"/>
        </w:rPr>
      </w:pPr>
      <w:r w:rsidRPr="00CA4DF4">
        <w:rPr>
          <w:rFonts w:ascii="Times New Roman" w:eastAsiaTheme="minorHAnsi" w:hAnsi="Times New Roman" w:cs="Times New Roman"/>
          <w:b/>
          <w:sz w:val="28"/>
          <w:szCs w:val="28"/>
          <w:lang w:val="en-GB" w:eastAsia="en-US"/>
        </w:rPr>
        <w:t>Conclusion</w:t>
      </w:r>
    </w:p>
    <w:p w14:paraId="7DDC7C5F" w14:textId="759ACC08" w:rsidR="007A1E15" w:rsidRDefault="002237F3" w:rsidP="001A5614">
      <w:pPr>
        <w:widowControl w:val="0"/>
        <w:spacing w:line="360" w:lineRule="auto"/>
        <w:ind w:firstLine="708"/>
        <w:jc w:val="both"/>
        <w:rPr>
          <w:rFonts w:ascii="Times New Roman" w:eastAsiaTheme="minorHAnsi" w:hAnsi="Times New Roman" w:cs="Times New Roman"/>
          <w:sz w:val="28"/>
          <w:szCs w:val="28"/>
          <w:lang w:val="en-GB" w:eastAsia="en-US"/>
        </w:rPr>
      </w:pPr>
      <w:r>
        <w:rPr>
          <w:rFonts w:ascii="Times New Roman" w:eastAsiaTheme="minorHAnsi" w:hAnsi="Times New Roman" w:cs="Times New Roman"/>
          <w:sz w:val="28"/>
          <w:szCs w:val="28"/>
          <w:lang w:val="en-GB" w:eastAsia="en-US"/>
        </w:rPr>
        <w:t>The</w:t>
      </w:r>
      <w:r w:rsidR="008C696E" w:rsidRPr="008C696E">
        <w:rPr>
          <w:rFonts w:ascii="Times New Roman" w:eastAsiaTheme="minorHAnsi" w:hAnsi="Times New Roman" w:cs="Times New Roman"/>
          <w:sz w:val="28"/>
          <w:szCs w:val="28"/>
          <w:lang w:val="en-GB" w:eastAsia="en-US"/>
        </w:rPr>
        <w:t xml:space="preserve"> approach </w:t>
      </w:r>
      <w:r>
        <w:rPr>
          <w:rFonts w:ascii="Times New Roman" w:eastAsiaTheme="minorHAnsi" w:hAnsi="Times New Roman" w:cs="Times New Roman"/>
          <w:sz w:val="28"/>
          <w:szCs w:val="28"/>
          <w:lang w:val="en-GB" w:eastAsia="en-US"/>
        </w:rPr>
        <w:t xml:space="preserve">which is </w:t>
      </w:r>
      <w:r w:rsidR="008C696E" w:rsidRPr="008C696E">
        <w:rPr>
          <w:rFonts w:ascii="Times New Roman" w:eastAsiaTheme="minorHAnsi" w:hAnsi="Times New Roman" w:cs="Times New Roman"/>
          <w:sz w:val="28"/>
          <w:szCs w:val="28"/>
          <w:lang w:val="en-GB" w:eastAsia="en-US"/>
        </w:rPr>
        <w:t xml:space="preserve">focused on the vulnerability of financial institutions to risks, and its in-depth characterization </w:t>
      </w:r>
      <w:r>
        <w:rPr>
          <w:rFonts w:ascii="Times New Roman" w:eastAsiaTheme="minorHAnsi" w:hAnsi="Times New Roman" w:cs="Times New Roman"/>
          <w:sz w:val="28"/>
          <w:szCs w:val="28"/>
          <w:lang w:val="en-GB" w:eastAsia="en-US"/>
        </w:rPr>
        <w:t>by</w:t>
      </w:r>
      <w:r w:rsidR="008C696E" w:rsidRPr="008C696E">
        <w:rPr>
          <w:rFonts w:ascii="Times New Roman" w:eastAsiaTheme="minorHAnsi" w:hAnsi="Times New Roman" w:cs="Times New Roman"/>
          <w:sz w:val="28"/>
          <w:szCs w:val="28"/>
          <w:lang w:val="en-GB" w:eastAsia="en-US"/>
        </w:rPr>
        <w:t xml:space="preserve"> the example of the risks of money laundering and terrorist financing, </w:t>
      </w:r>
      <w:r>
        <w:rPr>
          <w:rFonts w:ascii="Times New Roman" w:eastAsiaTheme="minorHAnsi" w:hAnsi="Times New Roman" w:cs="Times New Roman"/>
          <w:sz w:val="28"/>
          <w:szCs w:val="28"/>
          <w:lang w:val="en-GB" w:eastAsia="en-US"/>
        </w:rPr>
        <w:t>implies</w:t>
      </w:r>
      <w:r w:rsidR="008C696E" w:rsidRPr="008C696E">
        <w:rPr>
          <w:rFonts w:ascii="Times New Roman" w:eastAsiaTheme="minorHAnsi" w:hAnsi="Times New Roman" w:cs="Times New Roman"/>
          <w:sz w:val="28"/>
          <w:szCs w:val="28"/>
          <w:lang w:val="en-GB" w:eastAsia="en-US"/>
        </w:rPr>
        <w:t xml:space="preserve"> a meaningful transformation of the regulation of Russian fina</w:t>
      </w:r>
      <w:r w:rsidR="007A1E15">
        <w:rPr>
          <w:rFonts w:ascii="Times New Roman" w:eastAsiaTheme="minorHAnsi" w:hAnsi="Times New Roman" w:cs="Times New Roman"/>
          <w:sz w:val="28"/>
          <w:szCs w:val="28"/>
          <w:lang w:val="en-GB" w:eastAsia="en-US"/>
        </w:rPr>
        <w:t>ncial institutions, because it:</w:t>
      </w:r>
    </w:p>
    <w:p w14:paraId="0E9C42B9" w14:textId="77777777"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provides a preventive response to threats to the stability of financial institutions and t</w:t>
      </w:r>
      <w:r w:rsidR="007A1E15">
        <w:rPr>
          <w:rFonts w:ascii="Times New Roman" w:eastAsiaTheme="minorHAnsi" w:hAnsi="Times New Roman" w:cs="Times New Roman"/>
          <w:sz w:val="28"/>
          <w:szCs w:val="28"/>
          <w:lang w:val="en-GB" w:eastAsia="en-US"/>
        </w:rPr>
        <w:t>he financial market as a whole;</w:t>
      </w:r>
    </w:p>
    <w:p w14:paraId="1BB87093" w14:textId="5BA7F227"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relies on the construction of risk profiles as a</w:t>
      </w:r>
      <w:r w:rsidR="002237F3">
        <w:rPr>
          <w:rFonts w:ascii="Times New Roman" w:eastAsiaTheme="minorHAnsi" w:hAnsi="Times New Roman" w:cs="Times New Roman"/>
          <w:sz w:val="28"/>
          <w:szCs w:val="28"/>
          <w:lang w:val="en-GB" w:eastAsia="en-US"/>
        </w:rPr>
        <w:t>n illustrative</w:t>
      </w:r>
      <w:r w:rsidRPr="008C696E">
        <w:rPr>
          <w:rFonts w:ascii="Times New Roman" w:eastAsiaTheme="minorHAnsi" w:hAnsi="Times New Roman" w:cs="Times New Roman"/>
          <w:sz w:val="28"/>
          <w:szCs w:val="28"/>
          <w:lang w:val="en-GB" w:eastAsia="en-US"/>
        </w:rPr>
        <w:t>, clear and easy-to</w:t>
      </w:r>
      <w:r w:rsidR="007A1E15">
        <w:rPr>
          <w:rFonts w:ascii="Times New Roman" w:eastAsiaTheme="minorHAnsi" w:hAnsi="Times New Roman" w:cs="Times New Roman"/>
          <w:sz w:val="28"/>
          <w:szCs w:val="28"/>
          <w:lang w:val="en-GB" w:eastAsia="en-US"/>
        </w:rPr>
        <w:t xml:space="preserve">-use </w:t>
      </w:r>
      <w:r w:rsidR="002237F3">
        <w:rPr>
          <w:rFonts w:ascii="Times New Roman" w:eastAsiaTheme="minorHAnsi" w:hAnsi="Times New Roman" w:cs="Times New Roman"/>
          <w:sz w:val="28"/>
          <w:szCs w:val="28"/>
          <w:lang w:val="en-GB" w:eastAsia="en-US"/>
        </w:rPr>
        <w:t xml:space="preserve">tool for </w:t>
      </w:r>
      <w:r w:rsidR="007A1E15">
        <w:rPr>
          <w:rFonts w:ascii="Times New Roman" w:eastAsiaTheme="minorHAnsi" w:hAnsi="Times New Roman" w:cs="Times New Roman"/>
          <w:sz w:val="28"/>
          <w:szCs w:val="28"/>
          <w:lang w:val="en-GB" w:eastAsia="en-US"/>
        </w:rPr>
        <w:t>analysis;</w:t>
      </w:r>
    </w:p>
    <w:p w14:paraId="0DC3882E" w14:textId="77777777"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can be used to monitor the risk profiles of systemically im</w:t>
      </w:r>
      <w:r w:rsidR="007A1E15">
        <w:rPr>
          <w:rFonts w:ascii="Times New Roman" w:eastAsiaTheme="minorHAnsi" w:hAnsi="Times New Roman" w:cs="Times New Roman"/>
          <w:sz w:val="28"/>
          <w:szCs w:val="28"/>
          <w:lang w:val="en-GB" w:eastAsia="en-US"/>
        </w:rPr>
        <w:t>portant financial institutions;</w:t>
      </w:r>
    </w:p>
    <w:p w14:paraId="214BF8D9" w14:textId="7E60140C" w:rsidR="007A1E15" w:rsidRDefault="008C696E"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 xml:space="preserve">- is also applicable at the level of the financial market regulator </w:t>
      </w:r>
      <w:r w:rsidR="002237F3">
        <w:rPr>
          <w:rFonts w:ascii="Times New Roman" w:eastAsiaTheme="minorHAnsi" w:hAnsi="Times New Roman" w:cs="Times New Roman"/>
          <w:sz w:val="28"/>
          <w:szCs w:val="28"/>
          <w:lang w:val="en-GB" w:eastAsia="en-US"/>
        </w:rPr>
        <w:t xml:space="preserve">in order </w:t>
      </w:r>
      <w:r w:rsidRPr="008C696E">
        <w:rPr>
          <w:rFonts w:ascii="Times New Roman" w:eastAsiaTheme="minorHAnsi" w:hAnsi="Times New Roman" w:cs="Times New Roman"/>
          <w:sz w:val="28"/>
          <w:szCs w:val="28"/>
          <w:lang w:val="en-GB" w:eastAsia="en-US"/>
        </w:rPr>
        <w:t xml:space="preserve">to take measures to protect typical vulnerabilities or vulnerable areas for a group of financial institutions, and at the level of individual financial institutions </w:t>
      </w:r>
      <w:r w:rsidR="002237F3">
        <w:rPr>
          <w:rFonts w:ascii="Times New Roman" w:eastAsiaTheme="minorHAnsi" w:hAnsi="Times New Roman" w:cs="Times New Roman"/>
          <w:sz w:val="28"/>
          <w:szCs w:val="28"/>
          <w:lang w:val="en-GB" w:eastAsia="en-US"/>
        </w:rPr>
        <w:t xml:space="preserve">in order </w:t>
      </w:r>
      <w:r w:rsidRPr="008C696E">
        <w:rPr>
          <w:rFonts w:ascii="Times New Roman" w:eastAsiaTheme="minorHAnsi" w:hAnsi="Times New Roman" w:cs="Times New Roman"/>
          <w:sz w:val="28"/>
          <w:szCs w:val="28"/>
          <w:lang w:val="en-GB" w:eastAsia="en-US"/>
        </w:rPr>
        <w:t>to reduce the vulnerabi</w:t>
      </w:r>
      <w:r w:rsidR="007A1E15">
        <w:rPr>
          <w:rFonts w:ascii="Times New Roman" w:eastAsiaTheme="minorHAnsi" w:hAnsi="Times New Roman" w:cs="Times New Roman"/>
          <w:sz w:val="28"/>
          <w:szCs w:val="28"/>
          <w:lang w:val="en-GB" w:eastAsia="en-US"/>
        </w:rPr>
        <w:t xml:space="preserve">lities </w:t>
      </w:r>
      <w:r w:rsidR="002237F3">
        <w:rPr>
          <w:rFonts w:ascii="Times New Roman" w:eastAsiaTheme="minorHAnsi" w:hAnsi="Times New Roman" w:cs="Times New Roman"/>
          <w:sz w:val="28"/>
          <w:szCs w:val="28"/>
          <w:lang w:val="en-GB" w:eastAsia="en-US"/>
        </w:rPr>
        <w:t>existing on an individual basis</w:t>
      </w:r>
      <w:r w:rsidR="007A1E15">
        <w:rPr>
          <w:rFonts w:ascii="Times New Roman" w:eastAsiaTheme="minorHAnsi" w:hAnsi="Times New Roman" w:cs="Times New Roman"/>
          <w:sz w:val="28"/>
          <w:szCs w:val="28"/>
          <w:lang w:val="en-GB" w:eastAsia="en-US"/>
        </w:rPr>
        <w:t>.</w:t>
      </w:r>
    </w:p>
    <w:p w14:paraId="088A2B7E" w14:textId="77777777" w:rsidR="001A5614" w:rsidRDefault="001A5614">
      <w:pPr>
        <w:rPr>
          <w:rFonts w:ascii="Times New Roman" w:eastAsiaTheme="minorHAnsi" w:hAnsi="Times New Roman" w:cs="Times New Roman"/>
          <w:b/>
          <w:sz w:val="28"/>
          <w:szCs w:val="28"/>
          <w:lang w:val="en-GB" w:eastAsia="en-US"/>
        </w:rPr>
      </w:pPr>
      <w:r>
        <w:rPr>
          <w:rFonts w:ascii="Times New Roman" w:eastAsiaTheme="minorHAnsi" w:hAnsi="Times New Roman" w:cs="Times New Roman"/>
          <w:b/>
          <w:sz w:val="28"/>
          <w:szCs w:val="28"/>
          <w:lang w:val="en-GB" w:eastAsia="en-US"/>
        </w:rPr>
        <w:br w:type="page"/>
      </w:r>
    </w:p>
    <w:p w14:paraId="5AD366F2" w14:textId="562C9CDA" w:rsidR="00CA4DF4" w:rsidRPr="000F2CB9" w:rsidRDefault="00B130C9" w:rsidP="001A5614">
      <w:pPr>
        <w:widowControl w:val="0"/>
        <w:spacing w:before="240" w:line="360" w:lineRule="auto"/>
        <w:ind w:firstLine="708"/>
        <w:jc w:val="both"/>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en-GB" w:eastAsia="en-US"/>
        </w:rPr>
        <w:lastRenderedPageBreak/>
        <w:t>Acknowledgments</w:t>
      </w:r>
    </w:p>
    <w:p w14:paraId="7B2149F2" w14:textId="77777777" w:rsidR="00CA4DF4" w:rsidRDefault="00CA4DF4" w:rsidP="001A5614">
      <w:pPr>
        <w:widowControl w:val="0"/>
        <w:spacing w:line="360" w:lineRule="auto"/>
        <w:ind w:firstLine="708"/>
        <w:jc w:val="both"/>
        <w:rPr>
          <w:rFonts w:ascii="Times New Roman" w:eastAsiaTheme="minorHAnsi" w:hAnsi="Times New Roman" w:cs="Times New Roman"/>
          <w:sz w:val="28"/>
          <w:szCs w:val="28"/>
          <w:lang w:val="en-GB" w:eastAsia="en-US"/>
        </w:rPr>
      </w:pPr>
      <w:r w:rsidRPr="008C696E">
        <w:rPr>
          <w:rFonts w:ascii="Times New Roman" w:eastAsiaTheme="minorHAnsi" w:hAnsi="Times New Roman" w:cs="Times New Roman"/>
          <w:sz w:val="28"/>
          <w:szCs w:val="28"/>
          <w:lang w:val="en-GB" w:eastAsia="en-US"/>
        </w:rPr>
        <w:t>The article was supported by the Russian Foundation for Basic Research, grant № 16-02-00411 (a)</w:t>
      </w:r>
    </w:p>
    <w:p w14:paraId="72E51607" w14:textId="77777777" w:rsidR="001A5614" w:rsidRDefault="008C696E" w:rsidP="001A5614">
      <w:pPr>
        <w:widowControl w:val="0"/>
        <w:spacing w:before="240" w:line="360" w:lineRule="auto"/>
        <w:ind w:left="708"/>
        <w:jc w:val="both"/>
        <w:rPr>
          <w:rFonts w:ascii="Times New Roman" w:eastAsiaTheme="minorHAnsi" w:hAnsi="Times New Roman" w:cs="Times New Roman"/>
          <w:b/>
          <w:sz w:val="28"/>
          <w:szCs w:val="28"/>
          <w:lang w:val="en-GB" w:eastAsia="en-US"/>
        </w:rPr>
      </w:pPr>
      <w:r w:rsidRPr="00CA4DF4">
        <w:rPr>
          <w:rFonts w:ascii="Times New Roman" w:eastAsiaTheme="minorHAnsi" w:hAnsi="Times New Roman" w:cs="Times New Roman"/>
          <w:b/>
          <w:sz w:val="28"/>
          <w:szCs w:val="28"/>
          <w:lang w:val="en-GB" w:eastAsia="en-US"/>
        </w:rPr>
        <w:t>References</w:t>
      </w:r>
    </w:p>
    <w:p w14:paraId="768ED8C8" w14:textId="598B09C5" w:rsidR="001A5614" w:rsidRPr="001A5614" w:rsidRDefault="008C696E" w:rsidP="001A5614">
      <w:pPr>
        <w:widowControl w:val="0"/>
        <w:spacing w:line="360" w:lineRule="auto"/>
        <w:ind w:left="708"/>
        <w:jc w:val="both"/>
        <w:rPr>
          <w:rFonts w:ascii="Times New Roman" w:eastAsiaTheme="minorHAnsi" w:hAnsi="Times New Roman" w:cs="Times New Roman"/>
          <w:lang w:val="en-GB" w:eastAsia="en-US"/>
        </w:rPr>
      </w:pPr>
      <w:r w:rsidRPr="001A5614">
        <w:rPr>
          <w:rFonts w:ascii="Times New Roman" w:eastAsiaTheme="minorHAnsi" w:hAnsi="Times New Roman" w:cs="Times New Roman"/>
          <w:lang w:val="en-GB" w:eastAsia="en-US"/>
        </w:rPr>
        <w:t>[1] Alifanova E.N., Evlakhova Yu.S. Identification of zones of vulnerability to risk of money laundering on various segments of the financial market. Finansovye issledovanija = Financial researches, 2015, no. 3, pp. 42-52.</w:t>
      </w:r>
    </w:p>
    <w:p w14:paraId="108EF7B3" w14:textId="77777777" w:rsidR="001A5614" w:rsidRPr="001A5614" w:rsidRDefault="008C696E" w:rsidP="001A5614">
      <w:pPr>
        <w:widowControl w:val="0"/>
        <w:spacing w:line="360" w:lineRule="auto"/>
        <w:ind w:left="708"/>
        <w:jc w:val="both"/>
        <w:rPr>
          <w:rFonts w:ascii="Times New Roman" w:eastAsiaTheme="minorHAnsi" w:hAnsi="Times New Roman" w:cs="Times New Roman"/>
          <w:lang w:val="en-GB" w:eastAsia="en-US"/>
        </w:rPr>
      </w:pPr>
      <w:r w:rsidRPr="001A5614">
        <w:rPr>
          <w:rFonts w:ascii="Times New Roman" w:eastAsiaTheme="minorHAnsi" w:hAnsi="Times New Roman" w:cs="Times New Roman"/>
          <w:lang w:val="en-GB" w:eastAsia="en-US"/>
        </w:rPr>
        <w:t>[2] Modernization of tools of risk management of financial institutions in the sphere of money laundering or financing of terrorism on the basis of increase of financial literacy of clients natural persons (on the example of the South of Russia): monography / edited by E.N. Alifanova, N.G. Kuznecov, L.I. Nivorozhkina. – Rostov-n/D.: Donskoj izdatel'skij dom, 2013. – 368 p.</w:t>
      </w:r>
    </w:p>
    <w:p w14:paraId="78FCBA6B" w14:textId="77777777" w:rsidR="001A5614" w:rsidRPr="001A5614" w:rsidRDefault="008C696E" w:rsidP="001A5614">
      <w:pPr>
        <w:widowControl w:val="0"/>
        <w:spacing w:line="360" w:lineRule="auto"/>
        <w:ind w:left="708"/>
        <w:jc w:val="both"/>
        <w:rPr>
          <w:rFonts w:ascii="Times New Roman" w:eastAsiaTheme="minorHAnsi" w:hAnsi="Times New Roman" w:cs="Times New Roman"/>
          <w:lang w:val="en-GB" w:eastAsia="en-US"/>
        </w:rPr>
      </w:pPr>
      <w:r w:rsidRPr="001A5614">
        <w:rPr>
          <w:rFonts w:ascii="Times New Roman" w:eastAsiaTheme="minorHAnsi" w:hAnsi="Times New Roman" w:cs="Times New Roman"/>
          <w:lang w:val="en-GB" w:eastAsia="en-US"/>
        </w:rPr>
        <w:t>[3] Risks of using non-banking institutions in money laundering schemes. Report. EAG Working group on typologies, 2010. URL: </w:t>
      </w:r>
      <w:hyperlink r:id="rId10" w:tgtFrame="_blank" w:history="1">
        <w:r w:rsidRPr="001A5614">
          <w:rPr>
            <w:rFonts w:ascii="Times New Roman" w:eastAsiaTheme="minorHAnsi" w:hAnsi="Times New Roman" w:cs="Times New Roman"/>
            <w:lang w:val="en-GB" w:eastAsia="en-US"/>
          </w:rPr>
          <w:t>http://www.cbr.ru/today/anti_legalisation/evraz/nebank2010.pdf</w:t>
        </w:r>
      </w:hyperlink>
    </w:p>
    <w:p w14:paraId="3AB56BFC" w14:textId="77777777" w:rsidR="001A5614" w:rsidRPr="001A5614" w:rsidRDefault="008C696E" w:rsidP="001A5614">
      <w:pPr>
        <w:widowControl w:val="0"/>
        <w:spacing w:line="360" w:lineRule="auto"/>
        <w:ind w:left="708"/>
        <w:jc w:val="both"/>
        <w:rPr>
          <w:rFonts w:ascii="Times New Roman" w:eastAsiaTheme="minorHAnsi" w:hAnsi="Times New Roman" w:cs="Times New Roman"/>
          <w:lang w:val="en-GB" w:eastAsia="en-US"/>
        </w:rPr>
      </w:pPr>
      <w:r w:rsidRPr="001A5614">
        <w:rPr>
          <w:rFonts w:ascii="Times New Roman" w:eastAsiaTheme="minorHAnsi" w:hAnsi="Times New Roman" w:cs="Times New Roman"/>
          <w:lang w:val="en-GB" w:eastAsia="en-US"/>
        </w:rPr>
        <w:t>[4] Money laundering and terrorist financing with use of physical cash and bearer instruments. Report. EAG Working group on typologies, 2012. URL: </w:t>
      </w:r>
      <w:hyperlink r:id="rId11" w:tgtFrame="_blank" w:history="1">
        <w:r w:rsidRPr="001A5614">
          <w:rPr>
            <w:rFonts w:ascii="Times New Roman" w:eastAsiaTheme="minorHAnsi" w:hAnsi="Times New Roman" w:cs="Times New Roman"/>
            <w:lang w:val="en-GB" w:eastAsia="en-US"/>
          </w:rPr>
          <w:t>http://www.cbr.ru/today/anti_legalisation/evraz/nalden2012.pdf</w:t>
        </w:r>
      </w:hyperlink>
    </w:p>
    <w:p w14:paraId="7566F78F" w14:textId="77777777" w:rsidR="001A5614" w:rsidRPr="001A5614" w:rsidRDefault="008C696E" w:rsidP="001A5614">
      <w:pPr>
        <w:widowControl w:val="0"/>
        <w:spacing w:line="360" w:lineRule="auto"/>
        <w:ind w:left="708"/>
        <w:jc w:val="both"/>
        <w:rPr>
          <w:rFonts w:ascii="Times New Roman" w:eastAsiaTheme="minorHAnsi" w:hAnsi="Times New Roman" w:cs="Times New Roman"/>
          <w:lang w:val="en-GB" w:eastAsia="en-US"/>
        </w:rPr>
      </w:pPr>
      <w:r w:rsidRPr="001A5614">
        <w:rPr>
          <w:rFonts w:ascii="Times New Roman" w:eastAsiaTheme="minorHAnsi" w:hAnsi="Times New Roman" w:cs="Times New Roman"/>
          <w:lang w:val="en-GB" w:eastAsia="en-US"/>
        </w:rPr>
        <w:t>[5] Evlakhova Yu. S. Development of methodological approaches to an assessment of risk of money laundering and financing of terrorism in the banking sector of Russian Federation. Finance and credit. 2016. № 19. pp.12-25.</w:t>
      </w:r>
    </w:p>
    <w:p w14:paraId="56BAD7D3" w14:textId="2E1E298C" w:rsidR="00995E11" w:rsidRPr="008C696E" w:rsidRDefault="008C696E" w:rsidP="001A5614">
      <w:pPr>
        <w:widowControl w:val="0"/>
        <w:spacing w:line="360" w:lineRule="auto"/>
        <w:ind w:left="708"/>
        <w:jc w:val="both"/>
        <w:rPr>
          <w:rFonts w:ascii="Times New Roman" w:eastAsiaTheme="minorHAnsi" w:hAnsi="Times New Roman" w:cs="Times New Roman"/>
          <w:sz w:val="28"/>
          <w:szCs w:val="28"/>
          <w:lang w:val="en-GB" w:eastAsia="en-US"/>
        </w:rPr>
      </w:pPr>
      <w:r w:rsidRPr="001A5614">
        <w:rPr>
          <w:rFonts w:ascii="Times New Roman" w:eastAsiaTheme="minorHAnsi" w:hAnsi="Times New Roman" w:cs="Times New Roman"/>
          <w:lang w:val="en-GB" w:eastAsia="en-US"/>
        </w:rPr>
        <w:t>[6] Evlakhova Yu. S.  The development of Russian financial market regulation system based on institutional and network approaches: the dissertation on competition of a scientific degree of the doctor of economic Sciences. – Rostov-n/D., 2017. – 52 p.</w:t>
      </w:r>
    </w:p>
    <w:sectPr w:rsidR="00995E11" w:rsidRPr="008C696E" w:rsidSect="00CE06C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6E"/>
    <w:rsid w:val="0001519F"/>
    <w:rsid w:val="0008698A"/>
    <w:rsid w:val="000F2CB9"/>
    <w:rsid w:val="001015AA"/>
    <w:rsid w:val="00182A7D"/>
    <w:rsid w:val="00187FEF"/>
    <w:rsid w:val="00194FDD"/>
    <w:rsid w:val="001A5614"/>
    <w:rsid w:val="001B016E"/>
    <w:rsid w:val="00222B41"/>
    <w:rsid w:val="002237F3"/>
    <w:rsid w:val="00265795"/>
    <w:rsid w:val="002D1DB9"/>
    <w:rsid w:val="003B521C"/>
    <w:rsid w:val="00487DE0"/>
    <w:rsid w:val="005219AA"/>
    <w:rsid w:val="00552B7C"/>
    <w:rsid w:val="005A7F18"/>
    <w:rsid w:val="0060219B"/>
    <w:rsid w:val="00612B36"/>
    <w:rsid w:val="00660D57"/>
    <w:rsid w:val="00686B8C"/>
    <w:rsid w:val="007072B5"/>
    <w:rsid w:val="00712AA5"/>
    <w:rsid w:val="007145DB"/>
    <w:rsid w:val="007A1E15"/>
    <w:rsid w:val="007B5147"/>
    <w:rsid w:val="0080518C"/>
    <w:rsid w:val="008C696E"/>
    <w:rsid w:val="009416BB"/>
    <w:rsid w:val="009778E0"/>
    <w:rsid w:val="00995E11"/>
    <w:rsid w:val="00A14B21"/>
    <w:rsid w:val="00A17934"/>
    <w:rsid w:val="00AD72D1"/>
    <w:rsid w:val="00B130C9"/>
    <w:rsid w:val="00C2092E"/>
    <w:rsid w:val="00C41692"/>
    <w:rsid w:val="00CA4DF4"/>
    <w:rsid w:val="00CE06CC"/>
    <w:rsid w:val="00D0084E"/>
    <w:rsid w:val="00D557AE"/>
    <w:rsid w:val="00D721ED"/>
    <w:rsid w:val="00D91CD8"/>
    <w:rsid w:val="00E26293"/>
    <w:rsid w:val="00EC4596"/>
    <w:rsid w:val="00EE4970"/>
    <w:rsid w:val="00EF3216"/>
    <w:rsid w:val="00F20C9E"/>
    <w:rsid w:val="00F8248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B8C7B"/>
  <w14:defaultImageDpi w14:val="300"/>
  <w15:docId w15:val="{27A9E978-495F-4A48-8FAD-1168B598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96E"/>
    <w:rPr>
      <w:color w:val="0000FF"/>
      <w:u w:val="single"/>
    </w:rPr>
  </w:style>
  <w:style w:type="paragraph" w:styleId="a4">
    <w:name w:val="Balloon Text"/>
    <w:basedOn w:val="a"/>
    <w:link w:val="a5"/>
    <w:uiPriority w:val="99"/>
    <w:semiHidden/>
    <w:unhideWhenUsed/>
    <w:rsid w:val="0060219B"/>
    <w:rPr>
      <w:rFonts w:ascii="Lucida Grande" w:hAnsi="Lucida Grande" w:cs="Lucida Grande"/>
      <w:sz w:val="18"/>
      <w:szCs w:val="18"/>
    </w:rPr>
  </w:style>
  <w:style w:type="character" w:customStyle="1" w:styleId="a5">
    <w:name w:val="Текст выноски Знак"/>
    <w:basedOn w:val="a0"/>
    <w:link w:val="a4"/>
    <w:uiPriority w:val="99"/>
    <w:semiHidden/>
    <w:rsid w:val="006021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761">
      <w:bodyDiv w:val="1"/>
      <w:marLeft w:val="0"/>
      <w:marRight w:val="0"/>
      <w:marTop w:val="0"/>
      <w:marBottom w:val="0"/>
      <w:divBdr>
        <w:top w:val="none" w:sz="0" w:space="0" w:color="auto"/>
        <w:left w:val="none" w:sz="0" w:space="0" w:color="auto"/>
        <w:bottom w:val="none" w:sz="0" w:space="0" w:color="auto"/>
        <w:right w:val="none" w:sz="0" w:space="0" w:color="auto"/>
      </w:divBdr>
      <w:divsChild>
        <w:div w:id="1739859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9902">
      <w:bodyDiv w:val="1"/>
      <w:marLeft w:val="0"/>
      <w:marRight w:val="0"/>
      <w:marTop w:val="0"/>
      <w:marBottom w:val="0"/>
      <w:divBdr>
        <w:top w:val="none" w:sz="0" w:space="0" w:color="auto"/>
        <w:left w:val="none" w:sz="0" w:space="0" w:color="auto"/>
        <w:bottom w:val="none" w:sz="0" w:space="0" w:color="auto"/>
        <w:right w:val="none" w:sz="0" w:space="0" w:color="auto"/>
      </w:divBdr>
    </w:div>
    <w:div w:id="133255069">
      <w:bodyDiv w:val="1"/>
      <w:marLeft w:val="0"/>
      <w:marRight w:val="0"/>
      <w:marTop w:val="0"/>
      <w:marBottom w:val="0"/>
      <w:divBdr>
        <w:top w:val="none" w:sz="0" w:space="0" w:color="auto"/>
        <w:left w:val="none" w:sz="0" w:space="0" w:color="auto"/>
        <w:bottom w:val="none" w:sz="0" w:space="0" w:color="auto"/>
        <w:right w:val="none" w:sz="0" w:space="0" w:color="auto"/>
      </w:divBdr>
    </w:div>
    <w:div w:id="638807707">
      <w:bodyDiv w:val="1"/>
      <w:marLeft w:val="0"/>
      <w:marRight w:val="0"/>
      <w:marTop w:val="0"/>
      <w:marBottom w:val="0"/>
      <w:divBdr>
        <w:top w:val="none" w:sz="0" w:space="0" w:color="auto"/>
        <w:left w:val="none" w:sz="0" w:space="0" w:color="auto"/>
        <w:bottom w:val="none" w:sz="0" w:space="0" w:color="auto"/>
        <w:right w:val="none" w:sz="0" w:space="0" w:color="auto"/>
      </w:divBdr>
    </w:div>
    <w:div w:id="1136526999">
      <w:bodyDiv w:val="1"/>
      <w:marLeft w:val="0"/>
      <w:marRight w:val="0"/>
      <w:marTop w:val="0"/>
      <w:marBottom w:val="0"/>
      <w:divBdr>
        <w:top w:val="none" w:sz="0" w:space="0" w:color="auto"/>
        <w:left w:val="none" w:sz="0" w:space="0" w:color="auto"/>
        <w:bottom w:val="none" w:sz="0" w:space="0" w:color="auto"/>
        <w:right w:val="none" w:sz="0" w:space="0" w:color="auto"/>
      </w:divBdr>
    </w:div>
    <w:div w:id="1244027910">
      <w:bodyDiv w:val="1"/>
      <w:marLeft w:val="0"/>
      <w:marRight w:val="0"/>
      <w:marTop w:val="0"/>
      <w:marBottom w:val="0"/>
      <w:divBdr>
        <w:top w:val="none" w:sz="0" w:space="0" w:color="auto"/>
        <w:left w:val="none" w:sz="0" w:space="0" w:color="auto"/>
        <w:bottom w:val="none" w:sz="0" w:space="0" w:color="auto"/>
        <w:right w:val="none" w:sz="0" w:space="0" w:color="auto"/>
      </w:divBdr>
    </w:div>
    <w:div w:id="1330913735">
      <w:bodyDiv w:val="1"/>
      <w:marLeft w:val="0"/>
      <w:marRight w:val="0"/>
      <w:marTop w:val="0"/>
      <w:marBottom w:val="0"/>
      <w:divBdr>
        <w:top w:val="none" w:sz="0" w:space="0" w:color="auto"/>
        <w:left w:val="none" w:sz="0" w:space="0" w:color="auto"/>
        <w:bottom w:val="none" w:sz="0" w:space="0" w:color="auto"/>
        <w:right w:val="none" w:sz="0" w:space="0" w:color="auto"/>
      </w:divBdr>
    </w:div>
    <w:div w:id="1923443560">
      <w:bodyDiv w:val="1"/>
      <w:marLeft w:val="0"/>
      <w:marRight w:val="0"/>
      <w:marTop w:val="0"/>
      <w:marBottom w:val="0"/>
      <w:divBdr>
        <w:top w:val="none" w:sz="0" w:space="0" w:color="auto"/>
        <w:left w:val="none" w:sz="0" w:space="0" w:color="auto"/>
        <w:bottom w:val="none" w:sz="0" w:space="0" w:color="auto"/>
        <w:right w:val="none" w:sz="0" w:space="0" w:color="auto"/>
      </w:divBdr>
    </w:div>
    <w:div w:id="2019305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today/anti_legalisation/evraz/nalden2012.pdf" TargetMode="External"/><Relationship Id="rId5" Type="http://schemas.openxmlformats.org/officeDocument/2006/relationships/hyperlink" Target="http://www.cbr.ru/" TargetMode="External"/><Relationship Id="rId10" Type="http://schemas.openxmlformats.org/officeDocument/2006/relationships/hyperlink" Target="http://www.cbr.ru/today/anti_legalisation/evraz/nebank2010.pdf" TargetMode="External"/><Relationship Id="rId4" Type="http://schemas.openxmlformats.org/officeDocument/2006/relationships/hyperlink" Target="mailto:evlahova@yandex.ru" TargetMode="Externa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1070;&#1083;&#1103;\&#1053;&#1040;&#1059;&#1050;&#1040;\&#1076;&#1080;&#1089;&#1089;&#1077;&#1088;&#1090;&#1072;&#1094;&#1080;&#1103;%202014_7.11\&#1087;&#1072;&#1088;&#1072;&#1075;&#1088;&#1072;&#1092;%20&#1087;&#1086;&#1076;&#1092;&#1090;\&#1088;&#1080;&#1089;&#1082;-&#1087;&#1088;&#1086;&#1092;&#1080;&#1083;&#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cuments\&#1070;&#1083;&#1103;\&#1053;&#1040;&#1059;&#1050;&#1040;\&#1076;&#1080;&#1089;&#1089;&#1077;&#1088;&#1090;&#1072;&#1094;&#1080;&#1103;%202014_7.11\&#1087;&#1072;&#1088;&#1072;&#1075;&#1088;&#1072;&#1092;%20&#1087;&#1086;&#1076;&#1092;&#1090;\&#1088;&#1080;&#1089;&#1082;-&#1087;&#1088;&#1086;&#1092;&#1080;&#1083;&#1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ocuments\&#1070;&#1083;&#1103;\&#1053;&#1040;&#1059;&#1050;&#1040;\&#1076;&#1080;&#1089;&#1089;&#1077;&#1088;&#1090;&#1072;&#1094;&#1080;&#1103;%202014_7.11\&#1087;&#1072;&#1088;&#1072;&#1075;&#1088;&#1072;&#1092;%20&#1087;&#1086;&#1076;&#1092;&#1090;\&#1088;&#1080;&#1089;&#1082;-&#1087;&#1088;&#1086;&#1092;&#1080;&#1083;&#1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76;&#1080;&#1089;&#1089;&#1077;&#1088;&#1090;&#1072;&#1094;&#1080;&#1103;%202014_7.11\&#1087;&#1072;&#1088;&#1072;&#1075;&#1088;&#1072;&#1092;%20&#1087;&#1086;&#1076;&#1092;&#1090;\&#1088;&#1080;&#1089;&#1082;-&#1087;&#1088;&#1086;&#1092;&#1080;&#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741041616825657"/>
          <c:y val="9.7040217547528868E-2"/>
          <c:w val="0.46351206759657032"/>
          <c:h val="0.79427037427830105"/>
        </c:manualLayout>
      </c:layout>
      <c:radarChart>
        <c:radarStyle val="marker"/>
        <c:varyColors val="0"/>
        <c:ser>
          <c:idx val="0"/>
          <c:order val="0"/>
          <c:tx>
            <c:strRef>
              <c:f>Лист1!$A$2</c:f>
              <c:strCache>
                <c:ptCount val="1"/>
                <c:pt idx="0">
                  <c:v>АО ЮниКредит банк</c:v>
                </c:pt>
              </c:strCache>
            </c:strRef>
          </c:tx>
          <c:marker>
            <c:symbol val="none"/>
          </c:marker>
          <c:cat>
            <c:strRef>
              <c:f>Лист1!$B$1:$E$1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Лист1!$B$2:$E$2</c:f>
            </c:numRef>
          </c:val>
        </c:ser>
        <c:ser>
          <c:idx val="1"/>
          <c:order val="1"/>
          <c:tx>
            <c:strRef>
              <c:f>Лист1!$A$3</c:f>
              <c:strCache>
                <c:ptCount val="1"/>
                <c:pt idx="0">
                  <c:v>Банк ГПБ (АО)</c:v>
                </c:pt>
              </c:strCache>
            </c:strRef>
          </c:tx>
          <c:marker>
            <c:symbol val="none"/>
          </c:marker>
          <c:cat>
            <c:strRef>
              <c:f>Лист1!$B$1:$E$1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Лист1!$B$3:$E$3</c:f>
              <c:numCache>
                <c:formatCode>General</c:formatCode>
                <c:ptCount val="4"/>
                <c:pt idx="0">
                  <c:v>0.96555614049999972</c:v>
                </c:pt>
                <c:pt idx="1">
                  <c:v>6.6040599349999978</c:v>
                </c:pt>
                <c:pt idx="2">
                  <c:v>2</c:v>
                </c:pt>
                <c:pt idx="3">
                  <c:v>1</c:v>
                </c:pt>
              </c:numCache>
            </c:numRef>
          </c:val>
        </c:ser>
        <c:ser>
          <c:idx val="2"/>
          <c:order val="2"/>
          <c:tx>
            <c:strRef>
              <c:f>Лист1!$A$4</c:f>
              <c:strCache>
                <c:ptCount val="1"/>
                <c:pt idx="0">
                  <c:v>Банк ВТБ (ПАО)</c:v>
                </c:pt>
              </c:strCache>
            </c:strRef>
          </c:tx>
          <c:spPr>
            <a:ln>
              <a:solidFill>
                <a:schemeClr val="tx1">
                  <a:lumMod val="65000"/>
                  <a:lumOff val="35000"/>
                </a:schemeClr>
              </a:solidFill>
            </a:ln>
          </c:spPr>
          <c:marker>
            <c:symbol val="none"/>
          </c:marker>
          <c:cat>
            <c:strRef>
              <c:f>Лист1!$B$1:$E$1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Лист1!$B$4:$E$4</c:f>
              <c:numCache>
                <c:formatCode>General</c:formatCode>
                <c:ptCount val="4"/>
                <c:pt idx="0">
                  <c:v>1.2253230729999991</c:v>
                </c:pt>
                <c:pt idx="1">
                  <c:v>39.830096983000004</c:v>
                </c:pt>
                <c:pt idx="2">
                  <c:v>2</c:v>
                </c:pt>
                <c:pt idx="3">
                  <c:v>1</c:v>
                </c:pt>
              </c:numCache>
            </c:numRef>
          </c:val>
        </c:ser>
        <c:ser>
          <c:idx val="3"/>
          <c:order val="3"/>
          <c:tx>
            <c:strRef>
              <c:f>Лист1!$A$5</c:f>
              <c:strCache>
                <c:ptCount val="1"/>
                <c:pt idx="0">
                  <c:v>АО «Альфа-банк»</c:v>
                </c:pt>
              </c:strCache>
            </c:strRef>
          </c:tx>
          <c:marker>
            <c:symbol val="none"/>
          </c:marker>
          <c:cat>
            <c:strRef>
              <c:f>Лист1!$B$1:$E$1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Лист1!$B$5:$E$5</c:f>
            </c:numRef>
          </c:val>
        </c:ser>
        <c:ser>
          <c:idx val="4"/>
          <c:order val="4"/>
          <c:tx>
            <c:strRef>
              <c:f>Лист1!$A$6</c:f>
              <c:strCache>
                <c:ptCount val="1"/>
                <c:pt idx="0">
                  <c:v>ПАО Сбербанк</c:v>
                </c:pt>
              </c:strCache>
            </c:strRef>
          </c:tx>
          <c:spPr>
            <a:ln>
              <a:solidFill>
                <a:schemeClr val="tx1"/>
              </a:solidFill>
            </a:ln>
          </c:spPr>
          <c:marker>
            <c:symbol val="none"/>
          </c:marker>
          <c:cat>
            <c:strRef>
              <c:f>Лист1!$B$1:$E$1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Лист1!$B$6:$E$6</c:f>
              <c:numCache>
                <c:formatCode>General</c:formatCode>
                <c:ptCount val="4"/>
                <c:pt idx="0">
                  <c:v>5.0774833469999967</c:v>
                </c:pt>
                <c:pt idx="1">
                  <c:v>16.510641115999999</c:v>
                </c:pt>
                <c:pt idx="2">
                  <c:v>2</c:v>
                </c:pt>
                <c:pt idx="3">
                  <c:v>1</c:v>
                </c:pt>
              </c:numCache>
            </c:numRef>
          </c:val>
        </c:ser>
        <c:dLbls>
          <c:showLegendKey val="0"/>
          <c:showVal val="0"/>
          <c:showCatName val="0"/>
          <c:showSerName val="0"/>
          <c:showPercent val="0"/>
          <c:showBubbleSize val="0"/>
        </c:dLbls>
        <c:axId val="453782760"/>
        <c:axId val="453783152"/>
      </c:radarChart>
      <c:catAx>
        <c:axId val="453782760"/>
        <c:scaling>
          <c:orientation val="minMax"/>
        </c:scaling>
        <c:delete val="0"/>
        <c:axPos val="b"/>
        <c:majorGridlines/>
        <c:numFmt formatCode="General" sourceLinked="0"/>
        <c:majorTickMark val="out"/>
        <c:minorTickMark val="none"/>
        <c:tickLblPos val="nextTo"/>
        <c:crossAx val="453783152"/>
        <c:crosses val="autoZero"/>
        <c:auto val="1"/>
        <c:lblAlgn val="ctr"/>
        <c:lblOffset val="100"/>
        <c:noMultiLvlLbl val="0"/>
      </c:catAx>
      <c:valAx>
        <c:axId val="453783152"/>
        <c:scaling>
          <c:orientation val="minMax"/>
        </c:scaling>
        <c:delete val="0"/>
        <c:axPos val="l"/>
        <c:majorGridlines/>
        <c:numFmt formatCode="General" sourceLinked="1"/>
        <c:majorTickMark val="cross"/>
        <c:minorTickMark val="none"/>
        <c:tickLblPos val="nextTo"/>
        <c:crossAx val="453782760"/>
        <c:crosses val="autoZero"/>
        <c:crossBetween val="between"/>
        <c:majorUnit val="2"/>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radarChart>
        <c:radarStyle val="marker"/>
        <c:varyColors val="0"/>
        <c:ser>
          <c:idx val="0"/>
          <c:order val="0"/>
          <c:tx>
            <c:strRef>
              <c:f>Лист2!$A$2</c:f>
              <c:strCache>
                <c:ptCount val="1"/>
                <c:pt idx="0">
                  <c:v>АО ЮниКредит банк</c:v>
                </c:pt>
              </c:strCache>
            </c:strRef>
          </c:tx>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Лист2!$B$2:$E$2</c:f>
              <c:numCache>
                <c:formatCode>General</c:formatCode>
                <c:ptCount val="4"/>
                <c:pt idx="0">
                  <c:v>0.24293611120000008</c:v>
                </c:pt>
                <c:pt idx="1">
                  <c:v>5.8118931470000001</c:v>
                </c:pt>
                <c:pt idx="2">
                  <c:v>2</c:v>
                </c:pt>
                <c:pt idx="3">
                  <c:v>5</c:v>
                </c:pt>
              </c:numCache>
            </c:numRef>
          </c:val>
        </c:ser>
        <c:ser>
          <c:idx val="1"/>
          <c:order val="1"/>
          <c:tx>
            <c:strRef>
              <c:f>Лист2!$A$3</c:f>
              <c:strCache>
                <c:ptCount val="1"/>
                <c:pt idx="0">
                  <c:v>Банк ГПБ (АО)</c:v>
                </c:pt>
              </c:strCache>
            </c:strRef>
          </c:tx>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Лист2!$B$3:$E$3</c:f>
            </c:numRef>
          </c:val>
        </c:ser>
        <c:ser>
          <c:idx val="2"/>
          <c:order val="2"/>
          <c:tx>
            <c:strRef>
              <c:f>Лист2!$A$4</c:f>
              <c:strCache>
                <c:ptCount val="1"/>
                <c:pt idx="0">
                  <c:v>Банк ВТБ (ПАО)</c:v>
                </c:pt>
              </c:strCache>
            </c:strRef>
          </c:tx>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Лист2!$B$4:$E$4</c:f>
            </c:numRef>
          </c:val>
        </c:ser>
        <c:ser>
          <c:idx val="3"/>
          <c:order val="3"/>
          <c:tx>
            <c:strRef>
              <c:f>Лист2!$A$5</c:f>
              <c:strCache>
                <c:ptCount val="1"/>
                <c:pt idx="0">
                  <c:v>АО «Альфа-банк»</c:v>
                </c:pt>
              </c:strCache>
            </c:strRef>
          </c:tx>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Лист2!$B$5:$E$5</c:f>
            </c:numRef>
          </c:val>
        </c:ser>
        <c:ser>
          <c:idx val="4"/>
          <c:order val="4"/>
          <c:tx>
            <c:strRef>
              <c:f>Лист2!$A$6</c:f>
              <c:strCache>
                <c:ptCount val="1"/>
                <c:pt idx="0">
                  <c:v>ПАО Сбербанк</c:v>
                </c:pt>
              </c:strCache>
            </c:strRef>
          </c:tx>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Лист2!$B$6:$E$6</c:f>
            </c:numRef>
          </c:val>
        </c:ser>
        <c:ser>
          <c:idx val="5"/>
          <c:order val="5"/>
          <c:tx>
            <c:strRef>
              <c:f>Лист2!$A$7</c:f>
              <c:strCache>
                <c:ptCount val="1"/>
                <c:pt idx="0">
                  <c:v>ПАО Банк «ФК Открытие»</c:v>
                </c:pt>
              </c:strCache>
            </c:strRef>
          </c:tx>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Лист2!$B$7:$E$7</c:f>
            </c:numRef>
          </c:val>
        </c:ser>
        <c:ser>
          <c:idx val="6"/>
          <c:order val="6"/>
          <c:tx>
            <c:strRef>
              <c:f>Лист2!$A$8</c:f>
              <c:strCache>
                <c:ptCount val="1"/>
                <c:pt idx="0">
                  <c:v>ПАО «Промсвязьбанк»</c:v>
                </c:pt>
              </c:strCache>
            </c:strRef>
          </c:tx>
          <c:spPr>
            <a:ln>
              <a:solidFill>
                <a:srgbClr val="0070C0"/>
              </a:solidFill>
            </a:ln>
          </c:spPr>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Лист2!$B$8:$E$8</c:f>
              <c:numCache>
                <c:formatCode>General</c:formatCode>
                <c:ptCount val="4"/>
                <c:pt idx="0">
                  <c:v>0.21710309880000009</c:v>
                </c:pt>
                <c:pt idx="1">
                  <c:v>0.83848124199999996</c:v>
                </c:pt>
                <c:pt idx="2">
                  <c:v>2</c:v>
                </c:pt>
                <c:pt idx="3">
                  <c:v>4</c:v>
                </c:pt>
              </c:numCache>
            </c:numRef>
          </c:val>
        </c:ser>
        <c:ser>
          <c:idx val="7"/>
          <c:order val="7"/>
          <c:tx>
            <c:strRef>
              <c:f>Лист2!$A$9</c:f>
              <c:strCache>
                <c:ptCount val="1"/>
                <c:pt idx="0">
                  <c:v>ПАО «Промсвязьбанк»</c:v>
                </c:pt>
              </c:strCache>
            </c:strRef>
          </c:tx>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Лист2!$B$9:$E$9</c:f>
            </c:numRef>
          </c:val>
        </c:ser>
        <c:ser>
          <c:idx val="8"/>
          <c:order val="8"/>
          <c:tx>
            <c:strRef>
              <c:f>Лист2!$A$10</c:f>
              <c:strCache>
                <c:ptCount val="1"/>
                <c:pt idx="0">
                  <c:v>АО «Райффайзен-банк»</c:v>
                </c:pt>
              </c:strCache>
            </c:strRef>
          </c:tx>
          <c:spPr>
            <a:ln>
              <a:solidFill>
                <a:srgbClr val="FFFF00"/>
              </a:solidFill>
            </a:ln>
          </c:spPr>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Лист2!$B$10:$E$10</c:f>
              <c:numCache>
                <c:formatCode>General</c:formatCode>
                <c:ptCount val="4"/>
                <c:pt idx="0">
                  <c:v>0.43232354270000017</c:v>
                </c:pt>
                <c:pt idx="1">
                  <c:v>3.4487411309999998</c:v>
                </c:pt>
                <c:pt idx="2">
                  <c:v>2</c:v>
                </c:pt>
                <c:pt idx="3">
                  <c:v>4</c:v>
                </c:pt>
              </c:numCache>
            </c:numRef>
          </c:val>
        </c:ser>
        <c:ser>
          <c:idx val="9"/>
          <c:order val="9"/>
          <c:tx>
            <c:strRef>
              <c:f>Лист2!$A$11</c:f>
              <c:strCache>
                <c:ptCount val="1"/>
                <c:pt idx="0">
                  <c:v>АО «Россельхоз-банк»</c:v>
                </c:pt>
              </c:strCache>
            </c:strRef>
          </c:tx>
          <c:spPr>
            <a:ln>
              <a:solidFill>
                <a:srgbClr val="C00000"/>
              </a:solidFill>
            </a:ln>
          </c:spPr>
          <c:marker>
            <c:symbol val="none"/>
          </c:marker>
          <c:cat>
            <c:strRef>
              <c:f>Лист2!$B$1:$E$1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Лист2!$B$11:$E$11</c:f>
              <c:numCache>
                <c:formatCode>General</c:formatCode>
                <c:ptCount val="4"/>
                <c:pt idx="0">
                  <c:v>0.22758628200000008</c:v>
                </c:pt>
                <c:pt idx="1">
                  <c:v>3.1255339570000014</c:v>
                </c:pt>
                <c:pt idx="2">
                  <c:v>2</c:v>
                </c:pt>
                <c:pt idx="3">
                  <c:v>4</c:v>
                </c:pt>
              </c:numCache>
            </c:numRef>
          </c:val>
        </c:ser>
        <c:dLbls>
          <c:showLegendKey val="0"/>
          <c:showVal val="0"/>
          <c:showCatName val="0"/>
          <c:showSerName val="0"/>
          <c:showPercent val="0"/>
          <c:showBubbleSize val="0"/>
        </c:dLbls>
        <c:axId val="418726424"/>
        <c:axId val="418724464"/>
      </c:radarChart>
      <c:catAx>
        <c:axId val="418726424"/>
        <c:scaling>
          <c:orientation val="minMax"/>
        </c:scaling>
        <c:delete val="0"/>
        <c:axPos val="b"/>
        <c:majorGridlines/>
        <c:numFmt formatCode="General" sourceLinked="0"/>
        <c:majorTickMark val="out"/>
        <c:minorTickMark val="none"/>
        <c:tickLblPos val="nextTo"/>
        <c:crossAx val="418724464"/>
        <c:crosses val="autoZero"/>
        <c:auto val="1"/>
        <c:lblAlgn val="ctr"/>
        <c:lblOffset val="100"/>
        <c:noMultiLvlLbl val="0"/>
      </c:catAx>
      <c:valAx>
        <c:axId val="418724464"/>
        <c:scaling>
          <c:orientation val="minMax"/>
          <c:max val="10"/>
        </c:scaling>
        <c:delete val="0"/>
        <c:axPos val="l"/>
        <c:majorGridlines/>
        <c:numFmt formatCode="General" sourceLinked="1"/>
        <c:majorTickMark val="cross"/>
        <c:minorTickMark val="none"/>
        <c:tickLblPos val="nextTo"/>
        <c:crossAx val="418726424"/>
        <c:crosses val="autoZero"/>
        <c:crossBetween val="between"/>
        <c:majorUnit val="2"/>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Лист3!$A$2</c:f>
              <c:strCache>
                <c:ptCount val="1"/>
                <c:pt idx="0">
                  <c:v>АО ЮниКредит банк</c:v>
                </c:pt>
              </c:strCache>
            </c:strRef>
          </c:tx>
          <c:marker>
            <c:symbol val="none"/>
          </c:marker>
          <c:cat>
            <c:strRef>
              <c:f>Лист3!$B$1:$E$1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Лист3!$B$2:$E$2</c:f>
            </c:numRef>
          </c:val>
        </c:ser>
        <c:ser>
          <c:idx val="1"/>
          <c:order val="1"/>
          <c:tx>
            <c:strRef>
              <c:f>Лист3!$A$3</c:f>
              <c:strCache>
                <c:ptCount val="1"/>
                <c:pt idx="0">
                  <c:v>Банк ГПБ (АО)</c:v>
                </c:pt>
              </c:strCache>
            </c:strRef>
          </c:tx>
          <c:marker>
            <c:symbol val="none"/>
          </c:marker>
          <c:cat>
            <c:strRef>
              <c:f>Лист3!$B$1:$E$1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Лист3!$B$3:$E$3</c:f>
            </c:numRef>
          </c:val>
        </c:ser>
        <c:ser>
          <c:idx val="2"/>
          <c:order val="2"/>
          <c:tx>
            <c:strRef>
              <c:f>Лист3!$A$4</c:f>
              <c:strCache>
                <c:ptCount val="1"/>
                <c:pt idx="0">
                  <c:v>Банк ВТБ (ПАО)</c:v>
                </c:pt>
              </c:strCache>
            </c:strRef>
          </c:tx>
          <c:marker>
            <c:symbol val="none"/>
          </c:marker>
          <c:cat>
            <c:strRef>
              <c:f>Лист3!$B$1:$E$1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Лист3!$B$4:$E$4</c:f>
            </c:numRef>
          </c:val>
        </c:ser>
        <c:ser>
          <c:idx val="3"/>
          <c:order val="3"/>
          <c:tx>
            <c:strRef>
              <c:f>Лист3!$A$5</c:f>
              <c:strCache>
                <c:ptCount val="1"/>
                <c:pt idx="0">
                  <c:v>АО «Альфа-банк»</c:v>
                </c:pt>
              </c:strCache>
            </c:strRef>
          </c:tx>
          <c:spPr>
            <a:ln>
              <a:solidFill>
                <a:schemeClr val="bg2">
                  <a:lumMod val="10000"/>
                </a:schemeClr>
              </a:solidFill>
            </a:ln>
          </c:spPr>
          <c:marker>
            <c:symbol val="none"/>
          </c:marker>
          <c:cat>
            <c:strRef>
              <c:f>Лист3!$B$1:$E$1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Лист3!$B$5:$E$5</c:f>
              <c:numCache>
                <c:formatCode>General</c:formatCode>
                <c:ptCount val="4"/>
                <c:pt idx="0">
                  <c:v>0.40506889630000026</c:v>
                </c:pt>
                <c:pt idx="1">
                  <c:v>1.912744341</c:v>
                </c:pt>
                <c:pt idx="2">
                  <c:v>2</c:v>
                </c:pt>
                <c:pt idx="3">
                  <c:v>1</c:v>
                </c:pt>
              </c:numCache>
            </c:numRef>
          </c:val>
        </c:ser>
        <c:ser>
          <c:idx val="4"/>
          <c:order val="4"/>
          <c:tx>
            <c:strRef>
              <c:f>Лист3!$A$6</c:f>
              <c:strCache>
                <c:ptCount val="1"/>
                <c:pt idx="0">
                  <c:v>ПАО Сбербанк</c:v>
                </c:pt>
              </c:strCache>
            </c:strRef>
          </c:tx>
          <c:marker>
            <c:symbol val="none"/>
          </c:marker>
          <c:cat>
            <c:strRef>
              <c:f>Лист3!$B$1:$E$1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Лист3!$B$6:$E$6</c:f>
            </c:numRef>
          </c:val>
        </c:ser>
        <c:ser>
          <c:idx val="5"/>
          <c:order val="5"/>
          <c:tx>
            <c:strRef>
              <c:f>Лист3!$A$7</c:f>
              <c:strCache>
                <c:ptCount val="1"/>
                <c:pt idx="0">
                  <c:v>ПАО Банк «ФК Открытие»</c:v>
                </c:pt>
              </c:strCache>
            </c:strRef>
          </c:tx>
          <c:marker>
            <c:symbol val="none"/>
          </c:marker>
          <c:dPt>
            <c:idx val="3"/>
            <c:bubble3D val="0"/>
            <c:spPr>
              <a:ln>
                <a:solidFill>
                  <a:srgbClr val="FFC000"/>
                </a:solidFill>
              </a:ln>
            </c:spPr>
          </c:dPt>
          <c:cat>
            <c:strRef>
              <c:f>Лист3!$B$1:$E$1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Лист3!$B$7:$E$7</c:f>
              <c:numCache>
                <c:formatCode>General</c:formatCode>
                <c:ptCount val="4"/>
                <c:pt idx="0">
                  <c:v>0.23198967009999999</c:v>
                </c:pt>
                <c:pt idx="1">
                  <c:v>1.8453621419999999</c:v>
                </c:pt>
                <c:pt idx="2">
                  <c:v>2</c:v>
                </c:pt>
                <c:pt idx="3">
                  <c:v>1</c:v>
                </c:pt>
              </c:numCache>
            </c:numRef>
          </c:val>
        </c:ser>
        <c:ser>
          <c:idx val="6"/>
          <c:order val="6"/>
          <c:tx>
            <c:strRef>
              <c:f>Лист3!$A$8</c:f>
              <c:strCache>
                <c:ptCount val="1"/>
                <c:pt idx="0">
                  <c:v>ПАО РОСБАНК</c:v>
                </c:pt>
              </c:strCache>
            </c:strRef>
          </c:tx>
          <c:spPr>
            <a:ln>
              <a:solidFill>
                <a:srgbClr val="002060"/>
              </a:solidFill>
            </a:ln>
          </c:spPr>
          <c:marker>
            <c:symbol val="none"/>
          </c:marker>
          <c:cat>
            <c:strRef>
              <c:f>Лист3!$B$1:$E$1</c:f>
              <c:strCache>
                <c:ptCount val="4"/>
                <c:pt idx="0">
                  <c:v>Операционный риск</c:v>
                </c:pt>
                <c:pt idx="1">
                  <c:v>Страновой риск</c:v>
                </c:pt>
                <c:pt idx="2">
                  <c:v>Стратегический риск</c:v>
                </c:pt>
                <c:pt idx="3">
                  <c:v>Репутационный риск</c:v>
                </c:pt>
              </c:strCache>
            </c:strRef>
          </c:cat>
          <c:val>
            <c:numRef>
              <c:f>Лист3!$B$8:$E$8</c:f>
              <c:numCache>
                <c:formatCode>General</c:formatCode>
                <c:ptCount val="4"/>
                <c:pt idx="0">
                  <c:v>0.17875888840000012</c:v>
                </c:pt>
                <c:pt idx="1">
                  <c:v>1.7917298909999986</c:v>
                </c:pt>
                <c:pt idx="2">
                  <c:v>2</c:v>
                </c:pt>
                <c:pt idx="3">
                  <c:v>2</c:v>
                </c:pt>
              </c:numCache>
            </c:numRef>
          </c:val>
        </c:ser>
        <c:dLbls>
          <c:showLegendKey val="0"/>
          <c:showVal val="0"/>
          <c:showCatName val="0"/>
          <c:showSerName val="0"/>
          <c:showPercent val="0"/>
          <c:showBubbleSize val="0"/>
        </c:dLbls>
        <c:axId val="418729560"/>
        <c:axId val="418721328"/>
      </c:radarChart>
      <c:catAx>
        <c:axId val="418729560"/>
        <c:scaling>
          <c:orientation val="minMax"/>
        </c:scaling>
        <c:delete val="0"/>
        <c:axPos val="b"/>
        <c:majorGridlines/>
        <c:numFmt formatCode="General" sourceLinked="0"/>
        <c:majorTickMark val="out"/>
        <c:minorTickMark val="none"/>
        <c:tickLblPos val="nextTo"/>
        <c:crossAx val="418721328"/>
        <c:crosses val="autoZero"/>
        <c:auto val="1"/>
        <c:lblAlgn val="ctr"/>
        <c:lblOffset val="100"/>
        <c:noMultiLvlLbl val="0"/>
      </c:catAx>
      <c:valAx>
        <c:axId val="418721328"/>
        <c:scaling>
          <c:orientation val="minMax"/>
          <c:max val="10"/>
        </c:scaling>
        <c:delete val="0"/>
        <c:axPos val="l"/>
        <c:majorGridlines/>
        <c:numFmt formatCode="General" sourceLinked="1"/>
        <c:majorTickMark val="cross"/>
        <c:minorTickMark val="none"/>
        <c:tickLblPos val="nextTo"/>
        <c:crossAx val="418729560"/>
        <c:crosses val="autoZero"/>
        <c:crossBetween val="between"/>
        <c:majorUnit val="2"/>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открыт!$A$2</c:f>
              <c:strCache>
                <c:ptCount val="1"/>
                <c:pt idx="0">
                  <c:v>АО ЮниКредит банк</c:v>
                </c:pt>
              </c:strCache>
            </c:strRef>
          </c:tx>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открыт!$B$2:$E$2</c:f>
            </c:numRef>
          </c:val>
        </c:ser>
        <c:ser>
          <c:idx val="1"/>
          <c:order val="1"/>
          <c:tx>
            <c:strRef>
              <c:f>открыт!$A$3</c:f>
              <c:strCache>
                <c:ptCount val="1"/>
                <c:pt idx="0">
                  <c:v>Банк ГПБ (АО)</c:v>
                </c:pt>
              </c:strCache>
            </c:strRef>
          </c:tx>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открыт!$B$3:$E$3</c:f>
            </c:numRef>
          </c:val>
        </c:ser>
        <c:ser>
          <c:idx val="2"/>
          <c:order val="2"/>
          <c:tx>
            <c:strRef>
              <c:f>открыт!$A$4</c:f>
              <c:strCache>
                <c:ptCount val="1"/>
                <c:pt idx="0">
                  <c:v>Банк ВТБ (ПАО)</c:v>
                </c:pt>
              </c:strCache>
            </c:strRef>
          </c:tx>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открыт!$B$4:$E$4</c:f>
            </c:numRef>
          </c:val>
        </c:ser>
        <c:ser>
          <c:idx val="3"/>
          <c:order val="3"/>
          <c:tx>
            <c:strRef>
              <c:f>открыт!$A$5</c:f>
              <c:strCache>
                <c:ptCount val="1"/>
                <c:pt idx="0">
                  <c:v>АО «Альфа-банк»</c:v>
                </c:pt>
              </c:strCache>
            </c:strRef>
          </c:tx>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открыт!$B$5:$E$5</c:f>
            </c:numRef>
          </c:val>
        </c:ser>
        <c:ser>
          <c:idx val="4"/>
          <c:order val="4"/>
          <c:tx>
            <c:strRef>
              <c:f>открыт!$A$6</c:f>
              <c:strCache>
                <c:ptCount val="1"/>
                <c:pt idx="0">
                  <c:v>ПАО Сбербанк</c:v>
                </c:pt>
              </c:strCache>
            </c:strRef>
          </c:tx>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открыт!$B$6:$E$6</c:f>
            </c:numRef>
          </c:val>
        </c:ser>
        <c:ser>
          <c:idx val="5"/>
          <c:order val="5"/>
          <c:tx>
            <c:strRef>
              <c:f>открыт!$A$7</c:f>
              <c:strCache>
                <c:ptCount val="1"/>
                <c:pt idx="0">
                  <c:v>2014 г.</c:v>
                </c:pt>
              </c:strCache>
            </c:strRef>
          </c:tx>
          <c:spPr>
            <a:ln>
              <a:solidFill>
                <a:schemeClr val="tx1"/>
              </a:solidFill>
            </a:ln>
          </c:spPr>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открыт!$B$7:$E$7</c:f>
              <c:numCache>
                <c:formatCode>General</c:formatCode>
                <c:ptCount val="4"/>
                <c:pt idx="0">
                  <c:v>0.23198967009999999</c:v>
                </c:pt>
                <c:pt idx="1">
                  <c:v>1.8453621419999999</c:v>
                </c:pt>
                <c:pt idx="2">
                  <c:v>2</c:v>
                </c:pt>
                <c:pt idx="3">
                  <c:v>1</c:v>
                </c:pt>
              </c:numCache>
            </c:numRef>
          </c:val>
        </c:ser>
        <c:ser>
          <c:idx val="6"/>
          <c:order val="6"/>
          <c:tx>
            <c:strRef>
              <c:f>открыт!$A$8</c:f>
              <c:strCache>
                <c:ptCount val="1"/>
                <c:pt idx="0">
                  <c:v>2015 г.</c:v>
                </c:pt>
              </c:strCache>
            </c:strRef>
          </c:tx>
          <c:spPr>
            <a:ln>
              <a:solidFill>
                <a:schemeClr val="tx1"/>
              </a:solidFill>
              <a:prstDash val="sysDash"/>
            </a:ln>
          </c:spPr>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открыт!$B$8:$E$8</c:f>
              <c:numCache>
                <c:formatCode>General</c:formatCode>
                <c:ptCount val="4"/>
                <c:pt idx="0">
                  <c:v>0.71033999999999997</c:v>
                </c:pt>
                <c:pt idx="1">
                  <c:v>2.1351200000000001</c:v>
                </c:pt>
                <c:pt idx="2">
                  <c:v>2</c:v>
                </c:pt>
                <c:pt idx="3">
                  <c:v>1</c:v>
                </c:pt>
              </c:numCache>
            </c:numRef>
          </c:val>
        </c:ser>
        <c:ser>
          <c:idx val="7"/>
          <c:order val="7"/>
          <c:tx>
            <c:strRef>
              <c:f>открыт!$A$9</c:f>
              <c:strCache>
                <c:ptCount val="1"/>
                <c:pt idx="0">
                  <c:v>2016 г.</c:v>
                </c:pt>
              </c:strCache>
            </c:strRef>
          </c:tx>
          <c:spPr>
            <a:ln>
              <a:solidFill>
                <a:schemeClr val="tx1"/>
              </a:solidFill>
              <a:prstDash val="dash"/>
            </a:ln>
          </c:spPr>
          <c:marker>
            <c:symbol val="none"/>
          </c:marker>
          <c:cat>
            <c:strRef>
              <c:f>открыт!$B$1:$E$1</c:f>
              <c:strCache>
                <c:ptCount val="4"/>
                <c:pt idx="0">
                  <c:v>операционный риск</c:v>
                </c:pt>
                <c:pt idx="1">
                  <c:v>страновой риск</c:v>
                </c:pt>
                <c:pt idx="2">
                  <c:v>стратегический риск</c:v>
                </c:pt>
                <c:pt idx="3">
                  <c:v>репутационный риск</c:v>
                </c:pt>
              </c:strCache>
            </c:strRef>
          </c:cat>
          <c:val>
            <c:numRef>
              <c:f>открыт!$B$9:$E$9</c:f>
              <c:numCache>
                <c:formatCode>General</c:formatCode>
                <c:ptCount val="4"/>
                <c:pt idx="0">
                  <c:v>1.42947</c:v>
                </c:pt>
                <c:pt idx="1">
                  <c:v>2.1701700000000002</c:v>
                </c:pt>
                <c:pt idx="2">
                  <c:v>2</c:v>
                </c:pt>
                <c:pt idx="3">
                  <c:v>2</c:v>
                </c:pt>
              </c:numCache>
            </c:numRef>
          </c:val>
        </c:ser>
        <c:dLbls>
          <c:showLegendKey val="0"/>
          <c:showVal val="0"/>
          <c:showCatName val="0"/>
          <c:showSerName val="0"/>
          <c:showPercent val="0"/>
          <c:showBubbleSize val="0"/>
        </c:dLbls>
        <c:axId val="418724856"/>
        <c:axId val="418725248"/>
      </c:radarChart>
      <c:catAx>
        <c:axId val="418724856"/>
        <c:scaling>
          <c:orientation val="minMax"/>
        </c:scaling>
        <c:delete val="0"/>
        <c:axPos val="b"/>
        <c:majorGridlines/>
        <c:numFmt formatCode="General" sourceLinked="0"/>
        <c:majorTickMark val="out"/>
        <c:minorTickMark val="none"/>
        <c:tickLblPos val="nextTo"/>
        <c:crossAx val="418725248"/>
        <c:crosses val="autoZero"/>
        <c:auto val="1"/>
        <c:lblAlgn val="ctr"/>
        <c:lblOffset val="100"/>
        <c:noMultiLvlLbl val="0"/>
      </c:catAx>
      <c:valAx>
        <c:axId val="418725248"/>
        <c:scaling>
          <c:orientation val="minMax"/>
        </c:scaling>
        <c:delete val="0"/>
        <c:axPos val="l"/>
        <c:majorGridlines/>
        <c:numFmt formatCode="General" sourceLinked="1"/>
        <c:majorTickMark val="cross"/>
        <c:minorTickMark val="none"/>
        <c:tickLblPos val="nextTo"/>
        <c:crossAx val="41872485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2587</Words>
  <Characters>14749</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DeepSea</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Medvedkin Taras / Медведкин Тарас</dc:creator>
  <cp:lastModifiedBy>Oleg</cp:lastModifiedBy>
  <cp:revision>21</cp:revision>
  <dcterms:created xsi:type="dcterms:W3CDTF">2017-11-24T10:26:00Z</dcterms:created>
  <dcterms:modified xsi:type="dcterms:W3CDTF">2017-12-01T14:03:00Z</dcterms:modified>
</cp:coreProperties>
</file>