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F8" w:rsidRPr="00D244B2" w:rsidRDefault="00572FF8" w:rsidP="002D3851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D244B2">
        <w:rPr>
          <w:rFonts w:ascii="Times New Roman" w:hAnsi="Times New Roman" w:cs="Times New Roman"/>
          <w:b/>
          <w:sz w:val="28"/>
          <w:szCs w:val="28"/>
          <w:lang w:val="en-US"/>
        </w:rPr>
        <w:t>THE INFLUENCE OF SOCIO-ECONOMIC SITUATION IN THE REGIONS OF THE NORTH CAUCASUS FEDERAL DISTRICT OF THE RUSSIAN FEDERATION ON THE SOURCES OF TERRORIST CRIMES</w:t>
      </w:r>
    </w:p>
    <w:p w:rsidR="00572FF8" w:rsidRPr="00D244B2" w:rsidRDefault="00FA006A" w:rsidP="00572FF8">
      <w:pPr>
        <w:spacing w:before="120"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Feofilova T. Yu</w:t>
      </w:r>
      <w:r w:rsidR="00572FF8" w:rsidRPr="00D244B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72FF8" w:rsidRPr="00D244B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D244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Alekseeva</w:t>
      </w:r>
      <w:r w:rsidR="00572F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Yu. A</w:t>
      </w:r>
      <w:r w:rsidR="00572FF8" w:rsidRPr="00D244B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72FF8" w:rsidRPr="00D244B2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</w:p>
    <w:p w:rsidR="00572FF8" w:rsidRPr="00D244B2" w:rsidRDefault="00572FF8" w:rsidP="00572FF8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244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D244B2">
        <w:rPr>
          <w:rFonts w:ascii="Times New Roman" w:hAnsi="Times New Roman" w:cs="Times New Roman"/>
          <w:i/>
          <w:sz w:val="24"/>
          <w:szCs w:val="24"/>
          <w:lang w:val="en-US"/>
        </w:rPr>
        <w:t>St. Petersburg Polytechnic University of Peter the great,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244B2">
        <w:rPr>
          <w:rFonts w:ascii="Times New Roman" w:hAnsi="Times New Roman" w:cs="Times New Roman"/>
          <w:i/>
          <w:sz w:val="24"/>
          <w:szCs w:val="24"/>
          <w:lang w:val="en-US"/>
        </w:rPr>
        <w:t>candidate of economic sciences, Associate Professor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 St. Petersburg, Russia</w:t>
      </w:r>
    </w:p>
    <w:p w:rsidR="00572FF8" w:rsidRPr="00D244B2" w:rsidRDefault="00572FF8" w:rsidP="00572FF8">
      <w:pPr>
        <w:spacing w:before="120" w:after="0"/>
        <w:ind w:left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244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244B2">
        <w:rPr>
          <w:rFonts w:ascii="Times New Roman" w:hAnsi="Times New Roman" w:cs="Times New Roman"/>
          <w:i/>
          <w:sz w:val="24"/>
          <w:szCs w:val="24"/>
          <w:lang w:val="en-US"/>
        </w:rPr>
        <w:t>St. Petersburg Polytechnic University of Peter the great,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244B2">
        <w:rPr>
          <w:rFonts w:ascii="Times New Roman" w:hAnsi="Times New Roman" w:cs="Times New Roman"/>
          <w:i/>
          <w:sz w:val="24"/>
          <w:szCs w:val="24"/>
          <w:lang w:val="en-US"/>
        </w:rPr>
        <w:t>Student 2 masters course of the Graduate School of public and financial management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 St. Petersburg, Russia</w:t>
      </w:r>
    </w:p>
    <w:p w:rsidR="00572FF8" w:rsidRPr="00D244B2" w:rsidRDefault="00572FF8" w:rsidP="00572FF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2FF8" w:rsidRPr="005F7FF2" w:rsidRDefault="00572FF8" w:rsidP="00572FF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44B2">
        <w:rPr>
          <w:rFonts w:ascii="Times New Roman" w:hAnsi="Times New Roman" w:cs="Times New Roman"/>
          <w:sz w:val="24"/>
          <w:szCs w:val="24"/>
          <w:lang w:val="en-US"/>
        </w:rPr>
        <w:t>Feofilova 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44B2">
        <w:rPr>
          <w:rFonts w:ascii="Times New Roman" w:hAnsi="Times New Roman" w:cs="Times New Roman"/>
          <w:sz w:val="24"/>
          <w:szCs w:val="24"/>
          <w:lang w:val="en-US"/>
        </w:rPr>
        <w:t>Yu.: ORCiD 0000-0003-0535-9808</w:t>
      </w:r>
    </w:p>
    <w:p w:rsidR="00572FF8" w:rsidRPr="00D244B2" w:rsidRDefault="00572FF8" w:rsidP="00572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44B2">
        <w:rPr>
          <w:rFonts w:ascii="Times New Roman" w:hAnsi="Times New Roman" w:cs="Times New Roman"/>
          <w:sz w:val="24"/>
          <w:szCs w:val="24"/>
          <w:lang w:val="en-US"/>
        </w:rPr>
        <w:t xml:space="preserve">Alekseeva Yu. A.: </w:t>
      </w:r>
      <w:r w:rsidRPr="00D244B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ORCiD 0000-0001-9629-459X</w:t>
      </w:r>
    </w:p>
    <w:p w:rsidR="00572FF8" w:rsidRPr="00D244B2" w:rsidRDefault="00572FF8" w:rsidP="00572FF8">
      <w:pPr>
        <w:spacing w:after="0" w:line="360" w:lineRule="auto"/>
        <w:ind w:right="-1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D244B2">
        <w:rPr>
          <w:rFonts w:ascii="Times New Roman" w:hAnsi="Times New Roman" w:cs="Times New Roman"/>
          <w:sz w:val="24"/>
          <w:szCs w:val="24"/>
          <w:lang w:val="en-US"/>
        </w:rPr>
        <w:t>Corresponding Auth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or: Alekseeva Yu. A., E-mail: </w:t>
      </w:r>
      <w:r w:rsidRPr="00D244B2">
        <w:rPr>
          <w:rFonts w:ascii="Times New Roman" w:hAnsi="Times New Roman" w:cs="Times New Roman"/>
          <w:sz w:val="24"/>
          <w:lang w:val="en-US"/>
        </w:rPr>
        <w:t>susieswanson@yandex.ru</w:t>
      </w:r>
    </w:p>
    <w:p w:rsidR="00572FF8" w:rsidRPr="005F7FF2" w:rsidRDefault="00572FF8" w:rsidP="00572FF8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44B2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Pr="00D8776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87765">
        <w:rPr>
          <w:rFonts w:ascii="Times New Roman" w:hAnsi="Times New Roman" w:cs="Times New Roman"/>
          <w:sz w:val="24"/>
          <w:szCs w:val="24"/>
          <w:lang w:val="en-GB"/>
        </w:rPr>
        <w:t>it was</w:t>
      </w:r>
      <w:r w:rsidRPr="00D877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4142CD">
        <w:rPr>
          <w:rFonts w:ascii="Times New Roman" w:hAnsi="Times New Roman" w:cs="Times New Roman"/>
          <w:sz w:val="24"/>
          <w:szCs w:val="24"/>
          <w:lang w:val="en-US"/>
        </w:rPr>
        <w:t xml:space="preserve">found that over the past 5 years </w:t>
      </w:r>
      <w:r w:rsidR="00F9044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142CD">
        <w:rPr>
          <w:rFonts w:ascii="Times New Roman" w:hAnsi="Times New Roman" w:cs="Times New Roman"/>
          <w:sz w:val="24"/>
          <w:szCs w:val="24"/>
          <w:lang w:val="en-US"/>
        </w:rPr>
        <w:t xml:space="preserve"> number of crimes of a terrorist nature</w:t>
      </w:r>
      <w:r w:rsidR="00F9044F" w:rsidRPr="00F904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44F" w:rsidRPr="004142C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F9044F">
        <w:rPr>
          <w:rFonts w:ascii="Times New Roman" w:hAnsi="Times New Roman" w:cs="Times New Roman"/>
          <w:sz w:val="24"/>
          <w:szCs w:val="24"/>
          <w:lang w:val="en-US"/>
        </w:rPr>
        <w:t xml:space="preserve"> greatly</w:t>
      </w:r>
      <w:r w:rsidR="00F9044F" w:rsidRPr="004142CD">
        <w:rPr>
          <w:rFonts w:ascii="Times New Roman" w:hAnsi="Times New Roman" w:cs="Times New Roman"/>
          <w:sz w:val="24"/>
          <w:szCs w:val="24"/>
          <w:lang w:val="en-US"/>
        </w:rPr>
        <w:t xml:space="preserve"> increased</w:t>
      </w:r>
      <w:r w:rsidRPr="004142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D26C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142CD">
        <w:rPr>
          <w:rFonts w:ascii="Times New Roman" w:hAnsi="Times New Roman" w:cs="Times New Roman"/>
          <w:sz w:val="24"/>
          <w:szCs w:val="24"/>
          <w:lang w:val="en-US"/>
        </w:rPr>
        <w:t xml:space="preserve">hypothesis </w:t>
      </w:r>
      <w:r w:rsidR="00F93EFE" w:rsidRPr="00F93EFE">
        <w:rPr>
          <w:rFonts w:ascii="Times New Roman" w:hAnsi="Times New Roman" w:cs="Times New Roman"/>
          <w:sz w:val="24"/>
          <w:szCs w:val="24"/>
          <w:lang w:val="en-GB"/>
        </w:rPr>
        <w:t>appeared</w:t>
      </w:r>
      <w:r w:rsidR="003D26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42CD">
        <w:rPr>
          <w:rFonts w:ascii="Times New Roman" w:hAnsi="Times New Roman" w:cs="Times New Roman"/>
          <w:sz w:val="24"/>
          <w:szCs w:val="24"/>
          <w:lang w:val="en-US"/>
        </w:rPr>
        <w:t>that the adverse socio-economic situation creates conditions for the growth of crimes of a terrorist nature. As a result, the analysis revealed an inverse relationship between the "actual final consumpt</w:t>
      </w:r>
      <w:r>
        <w:rPr>
          <w:rFonts w:ascii="Times New Roman" w:hAnsi="Times New Roman" w:cs="Times New Roman"/>
          <w:sz w:val="24"/>
          <w:szCs w:val="24"/>
          <w:lang w:val="en-US"/>
        </w:rPr>
        <w:t>ion per person in thous</w:t>
      </w:r>
      <w:r w:rsidR="00F93EFE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rub</w:t>
      </w:r>
      <w:r w:rsidR="00F93EFE">
        <w:rPr>
          <w:rFonts w:ascii="Times New Roman" w:hAnsi="Times New Roman" w:cs="Times New Roman"/>
          <w:sz w:val="24"/>
          <w:szCs w:val="24"/>
          <w:lang w:val="en-US"/>
        </w:rPr>
        <w:t>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",</w:t>
      </w:r>
      <w:r w:rsidRPr="004142CD">
        <w:rPr>
          <w:rFonts w:ascii="Times New Roman" w:hAnsi="Times New Roman" w:cs="Times New Roman"/>
          <w:sz w:val="24"/>
          <w:szCs w:val="24"/>
          <w:lang w:val="en-US"/>
        </w:rPr>
        <w:t xml:space="preserve"> average cash</w:t>
      </w:r>
      <w:r w:rsidR="00FA006A">
        <w:rPr>
          <w:rFonts w:ascii="Times New Roman" w:hAnsi="Times New Roman" w:cs="Times New Roman"/>
          <w:sz w:val="24"/>
          <w:szCs w:val="24"/>
          <w:lang w:val="en-US"/>
        </w:rPr>
        <w:t xml:space="preserve"> income per month</w:t>
      </w:r>
      <w:r w:rsidR="00F93EFE">
        <w:rPr>
          <w:rFonts w:ascii="Times New Roman" w:hAnsi="Times New Roman" w:cs="Times New Roman"/>
          <w:sz w:val="24"/>
          <w:szCs w:val="24"/>
          <w:lang w:val="en-US"/>
        </w:rPr>
        <w:t xml:space="preserve"> in thousand</w:t>
      </w:r>
      <w:r w:rsidRPr="004142CD">
        <w:rPr>
          <w:rFonts w:ascii="Times New Roman" w:hAnsi="Times New Roman" w:cs="Times New Roman"/>
          <w:sz w:val="24"/>
          <w:szCs w:val="24"/>
          <w:lang w:val="en-US"/>
        </w:rPr>
        <w:t xml:space="preserve"> rub</w:t>
      </w:r>
      <w:r w:rsidR="00F93EFE">
        <w:rPr>
          <w:rFonts w:ascii="Times New Roman" w:hAnsi="Times New Roman" w:cs="Times New Roman"/>
          <w:sz w:val="24"/>
          <w:szCs w:val="24"/>
          <w:lang w:val="en-US"/>
        </w:rPr>
        <w:t>les</w:t>
      </w:r>
      <w:r w:rsidRPr="004142CD">
        <w:rPr>
          <w:rFonts w:ascii="Times New Roman" w:hAnsi="Times New Roman" w:cs="Times New Roman"/>
          <w:sz w:val="24"/>
          <w:szCs w:val="24"/>
          <w:lang w:val="en-US"/>
        </w:rPr>
        <w:t xml:space="preserve"> and the number of crimes of a terrorist nature.</w:t>
      </w:r>
    </w:p>
    <w:p w:rsidR="00572FF8" w:rsidRPr="005F7FF2" w:rsidRDefault="00572FF8" w:rsidP="00572FF8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2FF8" w:rsidRDefault="00572FF8" w:rsidP="00572FF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D244B2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142CD">
        <w:rPr>
          <w:rFonts w:ascii="Times New Roman" w:hAnsi="Times New Roman" w:cs="Times New Roman"/>
          <w:sz w:val="24"/>
          <w:szCs w:val="24"/>
          <w:lang w:val="en-US"/>
        </w:rPr>
        <w:t xml:space="preserve">socio-economic development, crimes of a terrorist nature, region, </w:t>
      </w:r>
      <w:r w:rsidR="00F93EFE">
        <w:rPr>
          <w:rFonts w:ascii="Times New Roman" w:hAnsi="Times New Roman" w:cs="Times New Roman"/>
          <w:sz w:val="24"/>
          <w:szCs w:val="24"/>
          <w:lang w:val="en-US"/>
        </w:rPr>
        <w:t>North</w:t>
      </w:r>
      <w:r w:rsidRPr="004142CD">
        <w:rPr>
          <w:rFonts w:ascii="Times New Roman" w:hAnsi="Times New Roman" w:cs="Times New Roman"/>
          <w:sz w:val="24"/>
          <w:szCs w:val="24"/>
          <w:lang w:val="en-US"/>
        </w:rPr>
        <w:t>-W</w:t>
      </w:r>
      <w:r w:rsidR="00F93EFE">
        <w:rPr>
          <w:rFonts w:ascii="Times New Roman" w:hAnsi="Times New Roman" w:cs="Times New Roman"/>
          <w:sz w:val="24"/>
          <w:szCs w:val="24"/>
          <w:lang w:val="en-US"/>
        </w:rPr>
        <w:t>est Federal District</w:t>
      </w:r>
    </w:p>
    <w:p w:rsidR="00572FF8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ru-RU"/>
        </w:rPr>
        <w:t>Introduction</w:t>
      </w:r>
    </w:p>
    <w:p w:rsidR="00572FF8" w:rsidRDefault="00F93EFE" w:rsidP="00572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Foreign economic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and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geopolitical factors have adversely affected the socio-economic situation in Russia and its regions [4, 32]. For t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he period from 2014 to </w:t>
      </w:r>
      <w:r w:rsidR="00FA006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2017,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the problem of terrorism at the international and national levels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became </w:t>
      </w:r>
      <w:r w:rsidR="00FA006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critical;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an increase in the number of crimes of extremist nature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in regions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, the problem of money laundering and corruption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is still actual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. The hypothesis of this study is that adverse change of quantitative and qualitative indicators of socio-economic development of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regions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creates conditions for the 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c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ommission of criminal acts 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of 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terrorist and extremist nature.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" w:eastAsia="ru-RU"/>
        </w:rPr>
        <w:t>Materials and methods.</w:t>
      </w:r>
      <w:r w:rsidRPr="0092242D">
        <w:rPr>
          <w:rFonts w:ascii="Calibri" w:eastAsia="Times New Roman" w:hAnsi="Calibri" w:cs="Calibri"/>
          <w:b/>
          <w:bCs/>
          <w:sz w:val="24"/>
          <w:szCs w:val="24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Application of methods of statistical analysis revealed the dynamics of values of indicators of socio-economic development of the N</w:t>
      </w:r>
      <w:r w:rsidR="00F93EF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orth</w:t>
      </w:r>
      <w:r w:rsidRPr="0092242D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-W</w:t>
      </w:r>
      <w:r w:rsidR="00F93EF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est</w:t>
      </w:r>
      <w:r w:rsidRPr="0092242D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.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Using correlation analysis has led to obtaining the result of the presence of feedback between socio-economic status of the region and the number of crimes of a terrorist nature. </w:t>
      </w:r>
    </w:p>
    <w:p w:rsidR="00572FF8" w:rsidRPr="0092242D" w:rsidRDefault="00E41889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lastRenderedPageBreak/>
        <w:t>This i</w:t>
      </w:r>
      <w:r w:rsidR="00F93EFE" w:rsidRPr="0092242D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nformation</w:t>
      </w:r>
      <w:r w:rsidR="00F93EF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was taken</w:t>
      </w:r>
      <w:r w:rsidR="00572FF8" w:rsidRPr="0092242D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</w:t>
      </w:r>
      <w:r w:rsidR="00F93EF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from</w:t>
      </w:r>
      <w:r w:rsidR="00572FF8" w:rsidRPr="0092242D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specialized sources. Empirical basis </w:t>
      </w:r>
      <w:r w:rsidR="00F93EFE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was taken from</w:t>
      </w:r>
      <w:r w:rsidR="00572FF8" w:rsidRPr="0092242D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data of the Federal State statistics service and the Office of the General Prosecutor of the R</w:t>
      </w:r>
      <w:r w:rsidR="002E376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ussian</w:t>
      </w:r>
      <w:r w:rsidR="00572FF8" w:rsidRPr="0092242D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F</w:t>
      </w:r>
      <w:r w:rsidR="002E376F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ederation.</w:t>
      </w:r>
    </w:p>
    <w:p w:rsidR="00572FF8" w:rsidRDefault="00572FF8" w:rsidP="00572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Discussion</w:t>
      </w:r>
    </w:p>
    <w:p w:rsidR="00572FF8" w:rsidRDefault="00572FF8" w:rsidP="00572F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Choice </w:t>
      </w:r>
      <w:r w:rsidR="00E418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of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the North Caucasus Federal District (</w:t>
      </w:r>
      <w:r w:rsidRPr="0092242D">
        <w:rPr>
          <w:rFonts w:ascii="Times New Roman" w:eastAsia="Times New Roman" w:hAnsi="Times New Roman" w:cs="Times New Roman"/>
          <w:i/>
          <w:iCs/>
          <w:sz w:val="28"/>
          <w:szCs w:val="28"/>
          <w:lang w:val="en" w:eastAsia="ru-RU"/>
        </w:rPr>
        <w:t>hereinafter referred to as the NORTH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) </w:t>
      </w:r>
      <w:r w:rsidR="0074518D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as </w:t>
      </w:r>
      <w:r w:rsidR="0074518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an </w:t>
      </w:r>
      <w:r w:rsidR="0074518D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object of study </w:t>
      </w:r>
      <w:r w:rsidR="0074518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is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due to the large share of NORTH CAUCASIAN FEDERAL DISTRICT in reported crimes of a terrorist </w:t>
      </w:r>
      <w:r w:rsidR="0074518D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nature</w:t>
      </w:r>
      <w:r w:rsidR="0074518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happened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in Russia, in 2016, their specific weight </w:t>
      </w:r>
      <w:r w:rsidR="0074518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is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of 75%.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(Figure 1)</w:t>
      </w:r>
    </w:p>
    <w:p w:rsidR="00572FF8" w:rsidRDefault="00572FF8" w:rsidP="0057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09DFD74" wp14:editId="48110E20">
            <wp:extent cx="4900210" cy="3225574"/>
            <wp:effectExtent l="0" t="0" r="2540" b="635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17-11-08 в 18.36.5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813" cy="323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FF8" w:rsidRDefault="00572FF8" w:rsidP="00572F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42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Figure 1</w:t>
      </w:r>
      <w:r w:rsidR="007451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142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Dynamics of recorded crimes of a terrorist nature</w:t>
      </w:r>
    </w:p>
    <w:p w:rsidR="00572FF8" w:rsidRPr="0092242D" w:rsidRDefault="00572FF8" w:rsidP="00572FF8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</w:p>
    <w:p w:rsidR="00572FF8" w:rsidRPr="0092242D" w:rsidRDefault="0074518D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As a result of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analysis of data of the Prosecutor General of the R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ussian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F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ederation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it was 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found that from 2009 to 2016 the growth rate of the number of registered crimes of a terrorist nature in the North-West Federal District (310%) match the tempo of growth (340%) in the</w:t>
      </w:r>
      <w:r w:rsidR="00572FF8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Russian Federation as a whole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572FF8" w:rsidRPr="0092242D" w:rsidRDefault="0074518D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ata 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a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nalysis of the Federal State Statistics Service showed that the N</w:t>
      </w:r>
      <w:r w:rsidR="00121A08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WFD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takes the last place in the ranking of the constituent entities of the Russian Federation on the basic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of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socio-economic indicators </w:t>
      </w:r>
      <w:r w:rsidR="00E418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from</w:t>
      </w:r>
      <w:r w:rsidR="00E41889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2011</w:t>
      </w:r>
      <w:r w:rsidR="00E418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to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2015. For example,</w:t>
      </w:r>
      <w:r w:rsidR="00E418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it takes 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the last place in ranking of all taxes on income in the budget system of the R</w:t>
      </w:r>
      <w:r w:rsidR="00121A08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ussian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F</w:t>
      </w:r>
      <w:r w:rsidR="00121A08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ederation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on a per capita basis, the level of employment, as well as the number of recorded crimes per 100000 inhabitants. 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lastRenderedPageBreak/>
        <w:t xml:space="preserve">A study on the socio-economic situation was carried out </w:t>
      </w:r>
      <w:r w:rsidR="00121A0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based on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time-series analysis [1, 16] indicators: actual final consumption per person, the gross regional product per capita, average per capita cash income </w:t>
      </w:r>
      <w:r w:rsid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per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month</w:t>
      </w:r>
      <w:r w:rsid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,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the proportion of employed persons, as well as terrorist offences in the per</w:t>
      </w:r>
      <w:r w:rsid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iod from 2010 to 2015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in Russia (table 1).</w:t>
      </w:r>
    </w:p>
    <w:p w:rsidR="00572FF8" w:rsidRPr="0092242D" w:rsidRDefault="00572FF8" w:rsidP="00572FF8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2242D">
        <w:rPr>
          <w:rFonts w:ascii="Times New Roman" w:eastAsia="Times New Roman" w:hAnsi="Times New Roman" w:cs="Times New Roman"/>
          <w:sz w:val="20"/>
          <w:szCs w:val="20"/>
          <w:lang w:val="en" w:eastAsia="ru-RU"/>
        </w:rPr>
        <w:t>Table 1-trends in the indicators of socio-economic development of the NORTH-WEST for 2010-2015 Gg.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850"/>
        <w:gridCol w:w="1134"/>
        <w:gridCol w:w="992"/>
        <w:gridCol w:w="992"/>
        <w:gridCol w:w="993"/>
        <w:gridCol w:w="980"/>
      </w:tblGrid>
      <w:tr w:rsidR="00572FF8" w:rsidRPr="0092242D" w:rsidTr="00A70A86">
        <w:trPr>
          <w:jc w:val="center"/>
        </w:trPr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Indicators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2010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2011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2012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2013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2014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2015</w:t>
            </w:r>
          </w:p>
        </w:tc>
      </w:tr>
      <w:tr w:rsidR="00572FF8" w:rsidRPr="0092242D" w:rsidTr="00A70A86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45164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 xml:space="preserve">Actual final consumption per person, </w:t>
            </w:r>
            <w:r w:rsidR="00451642"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thous</w:t>
            </w:r>
            <w:r w:rsidR="00451642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 xml:space="preserve">and </w:t>
            </w:r>
            <w:r w:rsidR="00451642"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rubles</w:t>
            </w: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128.5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149.5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171.5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191.2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207.7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228.4</w:t>
            </w:r>
          </w:p>
        </w:tc>
      </w:tr>
      <w:tr w:rsidR="00572FF8" w:rsidRPr="0092242D" w:rsidTr="00A70A86">
        <w:trPr>
          <w:trHeight w:val="513"/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 xml:space="preserve">GRP per capita, </w:t>
            </w:r>
            <w:r w:rsidR="00451642"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thous</w:t>
            </w:r>
            <w:r w:rsidR="00451642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 xml:space="preserve">and </w:t>
            </w:r>
            <w:r w:rsidR="00451642"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rubles.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39.1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95.0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112.6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127.0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146.1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164.9</w:t>
            </w:r>
          </w:p>
        </w:tc>
      </w:tr>
      <w:tr w:rsidR="00572FF8" w:rsidRPr="0092242D" w:rsidTr="00A70A86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 xml:space="preserve">Money income, </w:t>
            </w:r>
            <w:r w:rsidR="00451642"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thous</w:t>
            </w:r>
            <w:r w:rsidR="00451642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 xml:space="preserve">and </w:t>
            </w:r>
            <w:r w:rsidR="00451642"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rubles.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15.1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18.9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20.7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23.0</w:t>
            </w:r>
          </w:p>
        </w:tc>
      </w:tr>
      <w:tr w:rsidR="00572FF8" w:rsidRPr="0092242D" w:rsidTr="00A70A86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The share of people employed,%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35.28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35.65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35.70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35.79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35.99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35.78</w:t>
            </w:r>
          </w:p>
        </w:tc>
      </w:tr>
      <w:tr w:rsidR="00572FF8" w:rsidRPr="0092242D" w:rsidTr="00A70A86">
        <w:trPr>
          <w:jc w:val="center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The number of crimes of a terrorist nature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1168</w:t>
            </w:r>
          </w:p>
        </w:tc>
      </w:tr>
    </w:tbl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2242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From </w:t>
      </w:r>
      <w:r w:rsid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able 1 it can be seen that in 2015 </w:t>
      </w:r>
      <w:r w:rsid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in comparison </w:t>
      </w:r>
      <w:r w:rsidR="00451642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to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2010.</w:t>
      </w:r>
    </w:p>
    <w:p w:rsidR="00572FF8" w:rsidRPr="0092242D" w:rsidRDefault="00572FF8" w:rsidP="00572FF8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-actual final consumption </w:t>
      </w:r>
      <w:r w:rsidR="00E418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in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2015, increased by 99.9</w:t>
      </w:r>
      <w:r w:rsid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="00451642" w:rsidRP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thousand rubles</w:t>
      </w:r>
      <w:r w:rsid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o</w:t>
      </w:r>
      <w:r w:rsidR="00451642" w:rsidRP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r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77.</w:t>
      </w:r>
      <w:r w:rsid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7%. However, in prices of 2009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actual final consumption has changed less significantly by 30.6 </w:t>
      </w:r>
      <w:r w:rsidR="00451642" w:rsidRP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thousand rubles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(or 23.9%), i.e., the absolute increase in the month totaled 2.55 </w:t>
      </w:r>
      <w:r w:rsidR="00451642" w:rsidRP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thousand rubles.</w:t>
      </w:r>
    </w:p>
    <w:p w:rsidR="00572FF8" w:rsidRPr="0092242D" w:rsidRDefault="00572FF8" w:rsidP="00572FF8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-GROSS REGIONAL PRODUCT per capita rose to 125.8 </w:t>
      </w:r>
      <w:r w:rsidR="00451642" w:rsidRP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thousand rubles</w:t>
      </w:r>
      <w:r w:rsidR="00451642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o</w:t>
      </w:r>
      <w:r w:rsidR="00451642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r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321, 7%. While the greatest increase </w:t>
      </w:r>
      <w:r w:rsid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was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in 2011 </w:t>
      </w:r>
      <w:r w:rsidR="00451642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in comparison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with 2010, absolute 55.9 </w:t>
      </w:r>
      <w:r w:rsidR="00AA2716" w:rsidRPr="00AA271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thousand rubles</w:t>
      </w:r>
      <w:r w:rsidR="00AA271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in relative</w:t>
      </w:r>
      <w:r w:rsidR="00E418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is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143.0</w:t>
      </w:r>
      <w:r w:rsidR="00AA271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%. However, </w:t>
      </w:r>
      <w:r w:rsidR="00AA271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in prices of </w:t>
      </w:r>
      <w:r w:rsidR="00E418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2009,</w:t>
      </w:r>
      <w:r w:rsidR="00AA271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the picture is less optimistic, 193.9% growth or 75.81 </w:t>
      </w:r>
      <w:r w:rsidR="00AA2716" w:rsidRPr="00AA271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thousand rubles</w:t>
      </w:r>
      <w:r w:rsidR="00AA271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per year, i.e. an increase of the average expression </w:t>
      </w:r>
      <w:r w:rsidR="00DF0EFE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was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6.3 </w:t>
      </w:r>
      <w:r w:rsidR="00AA2716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thousand rubles</w:t>
      </w:r>
      <w:r w:rsidR="00DF0EFE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per month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;</w:t>
      </w:r>
    </w:p>
    <w:p w:rsidR="00572FF8" w:rsidRPr="0092242D" w:rsidRDefault="00572FF8" w:rsidP="00572FF8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-the absolute growth of average per capita money income totaled 9.7 </w:t>
      </w:r>
      <w:r w:rsidR="00D96A95" w:rsidRPr="00D96A9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thousand rubles</w:t>
      </w:r>
      <w:r w:rsidR="00D96A9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or 72.9%. While in 2015 </w:t>
      </w:r>
      <w:r w:rsidR="00D96A9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in comparison with 2014 the </w:t>
      </w:r>
      <w:r w:rsidR="00D96A95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value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of the analyzed indicator increased by 2.3 </w:t>
      </w:r>
      <w:r w:rsidR="00D96A95" w:rsidRPr="00D96A9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thousand rubles</w:t>
      </w:r>
      <w:r w:rsidR="00D96A9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="00D96A95" w:rsidRPr="00D96A9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in comparison with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the previous year, or 11.1% on. Along with </w:t>
      </w:r>
      <w:r w:rsidR="00D96A9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this, the prices of 2009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revenues grew only </w:t>
      </w:r>
      <w:r w:rsidR="00B44F1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for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2.3 </w:t>
      </w:r>
      <w:r w:rsidR="00D96A9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thousand rubles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(to 16.03 </w:t>
      </w:r>
      <w:r w:rsidR="00D96A9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thousand rubles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per month) or 20.5%;</w:t>
      </w:r>
    </w:p>
    <w:p w:rsidR="00572FF8" w:rsidRPr="0092242D" w:rsidRDefault="00572FF8" w:rsidP="00572FF8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-an absolute increase of</w:t>
      </w:r>
      <w:r w:rsidR="006E089B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crimes of a terrorist nature is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704 </w:t>
      </w:r>
      <w:r w:rsidR="006E089B" w:rsidRPr="006E089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or</w:t>
      </w:r>
      <w:r w:rsidR="006E089B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151.7%. The most significant increase in </w:t>
      </w:r>
      <w:r w:rsidR="006E089B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crisis </w:t>
      </w:r>
      <w:r w:rsidR="006E089B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in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2014 and 2015. </w:t>
      </w:r>
      <w:r w:rsidR="006E089B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Therefore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, in 2014 as compared to 2013 the quantity increased by 304 registered crimes or 52.5% in 2015, 2011</w:t>
      </w:r>
      <w:r w:rsidR="006E089B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,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the absolute increment compared with 2014 amounted to 285 crimes or 32.3%;</w:t>
      </w:r>
    </w:p>
    <w:p w:rsidR="00572FF8" w:rsidRPr="0092242D" w:rsidRDefault="00572FF8" w:rsidP="00572FF8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lastRenderedPageBreak/>
        <w:t xml:space="preserve">-the share of employed in the period </w:t>
      </w:r>
      <w:r w:rsidR="006E089B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was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at 35%, the growth rate of 1.4%.</w:t>
      </w:r>
    </w:p>
    <w:p w:rsidR="00572FF8" w:rsidRPr="0092242D" w:rsidRDefault="006E089B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o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identify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the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close 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relationship between indicators characterizing socio-economic situation in the region [1, 36], and the number of recorded crimes of a terrorist nature, a correlation analysis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was done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</w:t>
      </w:r>
      <w:r w:rsidR="00572FF8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able 2). </w:t>
      </w:r>
    </w:p>
    <w:p w:rsidR="00572FF8" w:rsidRPr="0092242D" w:rsidRDefault="00572FF8" w:rsidP="00572FF8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2242D">
        <w:rPr>
          <w:rFonts w:ascii="Times New Roman" w:eastAsia="Times New Roman" w:hAnsi="Times New Roman" w:cs="Times New Roman"/>
          <w:sz w:val="20"/>
          <w:szCs w:val="20"/>
          <w:lang w:val="en" w:eastAsia="ru-RU"/>
        </w:rPr>
        <w:t>Table 2</w:t>
      </w:r>
      <w:r w:rsidR="00B44F15">
        <w:rPr>
          <w:rFonts w:ascii="Times New Roman" w:eastAsia="Times New Roman" w:hAnsi="Times New Roman" w:cs="Times New Roman"/>
          <w:sz w:val="20"/>
          <w:szCs w:val="20"/>
          <w:lang w:val="en" w:eastAsia="ru-RU"/>
        </w:rPr>
        <w:t>.</w:t>
      </w:r>
      <w:r w:rsidRPr="0092242D">
        <w:rPr>
          <w:rFonts w:ascii="Times New Roman" w:eastAsia="Times New Roman" w:hAnsi="Times New Roman" w:cs="Times New Roman"/>
          <w:sz w:val="20"/>
          <w:szCs w:val="20"/>
          <w:lang w:val="en" w:eastAsia="ru-RU"/>
        </w:rPr>
        <w:t>Tight connection between the values of indicators characterizing socio-economic situation in the region and the number of recorded crimes of a terrorist nature</w:t>
      </w:r>
      <w:r w:rsidR="006E089B">
        <w:rPr>
          <w:rFonts w:ascii="Times New Roman" w:eastAsia="Times New Roman" w:hAnsi="Times New Roman" w:cs="Times New Roman"/>
          <w:sz w:val="20"/>
          <w:szCs w:val="20"/>
          <w:lang w:val="en" w:eastAsia="ru-RU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867"/>
        <w:gridCol w:w="1867"/>
        <w:gridCol w:w="1867"/>
        <w:gridCol w:w="1867"/>
      </w:tblGrid>
      <w:tr w:rsidR="00572FF8" w:rsidRPr="001C0A69" w:rsidTr="00A70A86">
        <w:trPr>
          <w:jc w:val="center"/>
        </w:trPr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Growth rates,%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 xml:space="preserve">Actual final consumption per person, </w:t>
            </w:r>
            <w:r w:rsidR="006E089B" w:rsidRPr="006E089B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thousand rubles</w:t>
            </w: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.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 xml:space="preserve">GRP per capita, </w:t>
            </w:r>
            <w:r w:rsidR="006E089B" w:rsidRPr="006E089B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thousand rubles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 xml:space="preserve">Average cash income per month, </w:t>
            </w:r>
            <w:r w:rsidR="006E089B" w:rsidRPr="006E089B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thousand rubles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The share of people employed,%</w:t>
            </w:r>
          </w:p>
        </w:tc>
      </w:tr>
      <w:tr w:rsidR="00572FF8" w:rsidRPr="0092242D" w:rsidTr="00A70A86">
        <w:trPr>
          <w:jc w:val="center"/>
        </w:trPr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The number of crimes of a terrorist nature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-0.72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0.01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-0.75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F8" w:rsidRPr="0092242D" w:rsidRDefault="00572FF8" w:rsidP="00A70A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2242D">
              <w:rPr>
                <w:rFonts w:ascii="Times New Roman" w:eastAsia="Times New Roman" w:hAnsi="Times New Roman" w:cs="Times New Roman"/>
                <w:sz w:val="20"/>
                <w:szCs w:val="20"/>
                <w:lang w:val="en" w:eastAsia="ru-RU"/>
              </w:rPr>
              <w:t>0.1</w:t>
            </w:r>
          </w:p>
        </w:tc>
      </w:tr>
    </w:tbl>
    <w:p w:rsidR="00572FF8" w:rsidRPr="0092242D" w:rsidRDefault="00572FF8" w:rsidP="00572FF8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Thus, it was revealed that between GRP per capita and number of crimes of a terrorist nature there</w:t>
      </w:r>
      <w:r w:rsidR="005D2CC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was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no relationship.</w:t>
      </w:r>
      <w:r w:rsidR="00323367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There is</w:t>
      </w:r>
      <w:r w:rsidR="004D46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a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="00323367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p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oor </w:t>
      </w:r>
      <w:r w:rsidR="005D2CC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link to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="005D2CC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the proportion of employed persons. However, it has been established that between "actual final consumption per person in </w:t>
      </w:r>
      <w:r w:rsidR="005D2CC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thousand rubles</w:t>
      </w:r>
      <w:r w:rsidR="004D46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, average cash income per month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in </w:t>
      </w:r>
      <w:r w:rsidR="005D2CC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thousand rubles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and the number of recorded crimes of a terrorist nature </w:t>
      </w:r>
      <w:r w:rsidR="005D2CC1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was closely connected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. That is, improving the quality of life of its citizens decreases the level of crimes of a terrorist nature. </w:t>
      </w:r>
      <w:r w:rsidR="006E69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In our opinion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, the lack of </w:t>
      </w:r>
      <w:r w:rsidR="006E69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links</w:t>
      </w:r>
      <w:r w:rsidR="006E6989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between</w:t>
      </w:r>
      <w:r w:rsidR="006E69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the GRP per capita and share of employed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due to the fact that the values of these indicators are practically have not changed </w:t>
      </w:r>
      <w:r w:rsidR="004D46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did not have a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significant impact on the socio-economic situation in the N</w:t>
      </w:r>
      <w:r w:rsidR="006E69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WFD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572FF8" w:rsidRDefault="006E6989" w:rsidP="00572F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Conclusion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In conclusion,</w:t>
      </w:r>
      <w:r w:rsidRPr="0092242D">
        <w:rPr>
          <w:rFonts w:ascii="Calibri" w:eastAsia="Times New Roman" w:hAnsi="Calibri" w:cs="Calibri"/>
          <w:b/>
          <w:bCs/>
          <w:sz w:val="24"/>
          <w:szCs w:val="24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it should be noted that the results of the study confirmed the hypothesis </w:t>
      </w:r>
      <w:r w:rsidR="006E6989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that was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formulated. It allows </w:t>
      </w:r>
      <w:r w:rsidR="006E6989"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drawing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a conclusion </w:t>
      </w:r>
      <w:r w:rsidR="004D46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of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the lack of capacity of public administration in the R</w:t>
      </w:r>
      <w:r w:rsidR="002A17D3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ussian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 Federation subjects, which are not allowed to form conditions for dynamic positive socio-economic development of the regions.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92242D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References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[1]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Bazar</w:t>
      </w:r>
      <w:r w:rsidRPr="0092242D">
        <w:rPr>
          <w:rFonts w:ascii="Calibri" w:eastAsia="Times New Roman" w:hAnsi="Calibri" w:cs="Calibri"/>
          <w:sz w:val="24"/>
          <w:szCs w:val="24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  <w:r w:rsidRPr="0092242D">
        <w:rPr>
          <w:rFonts w:ascii="Calibri" w:eastAsia="Times New Roman" w:hAnsi="Calibri" w:cs="Calibri"/>
          <w:sz w:val="24"/>
          <w:szCs w:val="24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92242D">
        <w:rPr>
          <w:rFonts w:ascii="Calibri" w:eastAsia="Times New Roman" w:hAnsi="Calibri" w:cs="Calibri"/>
          <w:sz w:val="24"/>
          <w:szCs w:val="24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Korreliacionno</w:t>
      </w:r>
      <w:r w:rsidRPr="0092242D">
        <w:rPr>
          <w:rFonts w:ascii="Calibri" w:eastAsia="Times New Roman" w:hAnsi="Calibri" w:cs="Calibri"/>
          <w:sz w:val="24"/>
          <w:szCs w:val="24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92242D">
        <w:rPr>
          <w:rFonts w:ascii="Calibri" w:eastAsia="Times New Roman" w:hAnsi="Calibri" w:cs="Calibri"/>
          <w:sz w:val="24"/>
          <w:szCs w:val="24"/>
          <w:lang w:val="en-US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regressionnyj</w:t>
      </w:r>
      <w:r w:rsidRPr="0092242D">
        <w:rPr>
          <w:rFonts w:ascii="Calibri" w:eastAsia="Times New Roman" w:hAnsi="Calibri" w:cs="Calibri"/>
          <w:sz w:val="24"/>
          <w:szCs w:val="24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analysis</w:t>
      </w:r>
      <w:r w:rsidRPr="0092242D">
        <w:rPr>
          <w:rFonts w:ascii="Calibri" w:eastAsia="Times New Roman" w:hAnsi="Calibri" w:cs="Calibri"/>
          <w:sz w:val="24"/>
          <w:szCs w:val="24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-jekonomicheskih social'no svjazi s ispol'zovaniem faktorov programmy uchebnoe posobie Excel.</w:t>
      </w:r>
      <w:r w:rsidRPr="0092242D">
        <w:rPr>
          <w:rFonts w:ascii="Calibri" w:eastAsia="Times New Roman" w:hAnsi="Calibri" w:cs="Calibri"/>
          <w:sz w:val="24"/>
          <w:szCs w:val="24"/>
          <w:lang w:val="en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Melbourne: GOU VPO "UGTU-UPI, 2009.102 s.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lastRenderedPageBreak/>
        <w:t xml:space="preserve">[2]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Oficial'nyj RF prokuratury General'noj sajt. URL: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http://www.</w:t>
      </w:r>
      <w:r w:rsidRPr="0092242D">
        <w:rPr>
          <w:rFonts w:ascii="Calibri" w:eastAsia="Times New Roman" w:hAnsi="Calibri" w:cs="Calibri"/>
          <w:sz w:val="24"/>
          <w:szCs w:val="24"/>
          <w:lang w:val="en-US" w:eastAsia="ru-RU"/>
        </w:rPr>
        <w:t xml:space="preserve">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genproc.gov.ru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[3]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Oficial'nyj sajt Federal'noj gosudarstvennoj sluzhby RF statistiki. URL: http://www.gks.ru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[4] </w:t>
      </w:r>
      <w:r w:rsidRPr="0092242D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Feofilova T.J. Sovremennoje sostojanije regionov: k voprosy ob ocenke jekonomicheskoj bezopasnosti. Spb.: SPBGEU, 2016. S. 32-35.</w:t>
      </w:r>
    </w:p>
    <w:p w:rsidR="00572FF8" w:rsidRPr="0092242D" w:rsidRDefault="00572FF8" w:rsidP="00572FF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en-US" w:eastAsia="ru-RU"/>
        </w:rPr>
      </w:pPr>
      <w:r w:rsidRPr="009224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C445E1" w:rsidRDefault="00C445E1"/>
    <w:sectPr w:rsidR="00C4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FF8"/>
    <w:rsid w:val="00121A08"/>
    <w:rsid w:val="00140C44"/>
    <w:rsid w:val="001C0A69"/>
    <w:rsid w:val="002A17D3"/>
    <w:rsid w:val="002D3851"/>
    <w:rsid w:val="002E376F"/>
    <w:rsid w:val="00323367"/>
    <w:rsid w:val="003D26CB"/>
    <w:rsid w:val="004318DC"/>
    <w:rsid w:val="00451642"/>
    <w:rsid w:val="004D467A"/>
    <w:rsid w:val="004E3019"/>
    <w:rsid w:val="00572FF8"/>
    <w:rsid w:val="005D2CC1"/>
    <w:rsid w:val="006E089B"/>
    <w:rsid w:val="006E6989"/>
    <w:rsid w:val="0074518D"/>
    <w:rsid w:val="00AA2716"/>
    <w:rsid w:val="00B44F15"/>
    <w:rsid w:val="00C3305C"/>
    <w:rsid w:val="00C445E1"/>
    <w:rsid w:val="00D96A95"/>
    <w:rsid w:val="00DE3525"/>
    <w:rsid w:val="00DF0EFE"/>
    <w:rsid w:val="00E41889"/>
    <w:rsid w:val="00F9044F"/>
    <w:rsid w:val="00F93EFE"/>
    <w:rsid w:val="00FA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1BE9D-44EE-487B-8DDE-99854CCE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FF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Zhuravleva</dc:creator>
  <cp:keywords/>
  <dc:description/>
  <cp:lastModifiedBy>Oleg</cp:lastModifiedBy>
  <cp:revision>23</cp:revision>
  <dcterms:created xsi:type="dcterms:W3CDTF">2017-11-26T22:08:00Z</dcterms:created>
  <dcterms:modified xsi:type="dcterms:W3CDTF">2017-12-01T13:04:00Z</dcterms:modified>
</cp:coreProperties>
</file>