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2A7" w:rsidRPr="00443A62" w:rsidRDefault="00B21651">
      <w:pPr>
        <w:spacing w:after="0" w:line="360" w:lineRule="auto"/>
        <w:rPr>
          <w:rFonts w:ascii="Times New Roman Bold" w:eastAsia="Times New Roman Bold" w:hAnsi="Times New Roman Bold" w:cs="Times New Roman Bold"/>
          <w:b/>
          <w:sz w:val="28"/>
          <w:szCs w:val="28"/>
          <w:lang w:val="en-US"/>
        </w:rPr>
      </w:pPr>
      <w:bookmarkStart w:id="0" w:name="_GoBack"/>
      <w:bookmarkEnd w:id="0"/>
      <w:r w:rsidRPr="00443A62">
        <w:rPr>
          <w:rFonts w:ascii="Times New Roman Bold"/>
          <w:b/>
          <w:sz w:val="28"/>
          <w:szCs w:val="28"/>
          <w:lang w:val="en-US"/>
        </w:rPr>
        <w:t>Risks and Threats of Using Open Banking in Russia and in the World</w:t>
      </w:r>
    </w:p>
    <w:p w:rsidR="00B912A7" w:rsidRPr="00443A62" w:rsidRDefault="00B21651">
      <w:pPr>
        <w:spacing w:before="120" w:after="0" w:line="360" w:lineRule="auto"/>
        <w:ind w:left="709"/>
        <w:jc w:val="both"/>
        <w:rPr>
          <w:rFonts w:ascii="Times New Roman Bold" w:eastAsia="Times New Roman Bold" w:hAnsi="Times New Roman Bold" w:cs="Times New Roman Bold"/>
          <w:b/>
          <w:sz w:val="24"/>
          <w:szCs w:val="24"/>
          <w:vertAlign w:val="superscript"/>
          <w:lang w:val="en-US"/>
        </w:rPr>
      </w:pPr>
      <w:r w:rsidRPr="00443A62">
        <w:rPr>
          <w:rFonts w:ascii="Times New Roman Bold"/>
          <w:b/>
          <w:sz w:val="24"/>
          <w:szCs w:val="24"/>
          <w:lang w:val="en-US"/>
        </w:rPr>
        <w:t xml:space="preserve">Kolobova Y. I., Mokhnitskaya D. S., Sidorova V. E., Skorokhod A. A. </w:t>
      </w:r>
      <w:r w:rsidRPr="00443A62">
        <w:rPr>
          <w:rFonts w:ascii="Times New Roman Bold"/>
          <w:b/>
          <w:sz w:val="24"/>
          <w:szCs w:val="24"/>
          <w:vertAlign w:val="superscript"/>
          <w:lang w:val="en-US"/>
        </w:rPr>
        <w:t>1</w:t>
      </w:r>
    </w:p>
    <w:p w:rsidR="00B912A7" w:rsidRDefault="00B21651">
      <w:pPr>
        <w:spacing w:after="0" w:line="240" w:lineRule="auto"/>
        <w:ind w:left="709"/>
        <w:jc w:val="both"/>
        <w:rPr>
          <w:rFonts w:ascii="Times New Roman Bold" w:eastAsia="Times New Roman Bold" w:hAnsi="Times New Roman Bold" w:cs="Times New Roman Bold"/>
          <w:i/>
          <w:iCs/>
          <w:sz w:val="24"/>
          <w:szCs w:val="24"/>
          <w:lang w:val="en-US"/>
        </w:rPr>
      </w:pPr>
      <w:r>
        <w:rPr>
          <w:rFonts w:ascii="Times New Roman Bold"/>
          <w:i/>
          <w:iCs/>
          <w:sz w:val="24"/>
          <w:szCs w:val="24"/>
          <w:vertAlign w:val="superscript"/>
          <w:lang w:val="en-US"/>
        </w:rPr>
        <w:t>1</w:t>
      </w:r>
      <w:r>
        <w:rPr>
          <w:rFonts w:ascii="Times New Roman Bold"/>
          <w:i/>
          <w:iCs/>
          <w:sz w:val="24"/>
          <w:szCs w:val="24"/>
          <w:lang w:val="en-US"/>
        </w:rPr>
        <w:t xml:space="preserve">Sevastopol financial University, student of the Magistracy of the Department of Finance and credit, Sevastopol, </w:t>
      </w:r>
      <w:r>
        <w:rPr>
          <w:rFonts w:ascii="Times New Roman Bold"/>
          <w:i/>
          <w:iCs/>
          <w:sz w:val="24"/>
          <w:szCs w:val="24"/>
          <w:lang w:val="en-US"/>
        </w:rPr>
        <w:t>Russia</w:t>
      </w:r>
    </w:p>
    <w:p w:rsidR="00B912A7" w:rsidRDefault="00B912A7">
      <w:pPr>
        <w:spacing w:after="0" w:line="240" w:lineRule="auto"/>
        <w:ind w:left="709"/>
        <w:jc w:val="both"/>
        <w:rPr>
          <w:rFonts w:ascii="Times New Roman Bold" w:eastAsia="Times New Roman Bold" w:hAnsi="Times New Roman Bold" w:cs="Times New Roman Bold"/>
          <w:sz w:val="24"/>
          <w:szCs w:val="24"/>
          <w:lang w:val="en-US"/>
        </w:rPr>
      </w:pPr>
    </w:p>
    <w:p w:rsidR="00B912A7" w:rsidRDefault="00B21651">
      <w:pPr>
        <w:spacing w:after="0" w:line="360" w:lineRule="auto"/>
        <w:ind w:left="709"/>
        <w:jc w:val="both"/>
        <w:rPr>
          <w:rFonts w:ascii="Times New Roman Bold" w:eastAsia="Times New Roman Bold" w:hAnsi="Times New Roman Bold" w:cs="Times New Roman Bold"/>
          <w:sz w:val="24"/>
          <w:szCs w:val="24"/>
          <w:lang w:val="en-US"/>
        </w:rPr>
      </w:pPr>
      <w:r>
        <w:rPr>
          <w:rFonts w:ascii="Times New Roman Bold"/>
          <w:sz w:val="24"/>
          <w:szCs w:val="24"/>
          <w:lang w:val="en-US"/>
        </w:rPr>
        <w:t>Kolobova Y. I.: ORCiD 0000-0003-0503-5555</w:t>
      </w:r>
    </w:p>
    <w:p w:rsidR="00B912A7" w:rsidRDefault="00B21651">
      <w:pPr>
        <w:spacing w:after="0" w:line="360" w:lineRule="auto"/>
        <w:ind w:left="709"/>
        <w:jc w:val="both"/>
        <w:rPr>
          <w:rFonts w:ascii="Times New Roman Bold" w:eastAsia="Times New Roman Bold" w:hAnsi="Times New Roman Bold" w:cs="Times New Roman Bold"/>
          <w:sz w:val="24"/>
          <w:szCs w:val="24"/>
          <w:lang w:val="en-US"/>
        </w:rPr>
      </w:pPr>
      <w:r>
        <w:rPr>
          <w:rFonts w:ascii="Times New Roman Bold"/>
          <w:sz w:val="24"/>
          <w:szCs w:val="24"/>
          <w:lang w:val="en-US"/>
        </w:rPr>
        <w:t>Mokhnitskaya D. S.: ORCiD 0000-0002-8048-4716</w:t>
      </w:r>
    </w:p>
    <w:p w:rsidR="00B912A7" w:rsidRDefault="00B21651">
      <w:pPr>
        <w:spacing w:after="0" w:line="360" w:lineRule="auto"/>
        <w:ind w:left="709"/>
        <w:jc w:val="both"/>
        <w:rPr>
          <w:rFonts w:ascii="Times New Roman Bold" w:eastAsia="Times New Roman Bold" w:hAnsi="Times New Roman Bold" w:cs="Times New Roman Bold"/>
          <w:sz w:val="24"/>
          <w:szCs w:val="24"/>
          <w:lang w:val="en-US"/>
        </w:rPr>
      </w:pPr>
      <w:r>
        <w:rPr>
          <w:rFonts w:ascii="Times New Roman Bold"/>
          <w:sz w:val="24"/>
          <w:szCs w:val="24"/>
          <w:lang w:val="en-US"/>
        </w:rPr>
        <w:t>Sidorova V. E.: ORCiD 0000-0001-7480-2581</w:t>
      </w:r>
    </w:p>
    <w:p w:rsidR="00B912A7" w:rsidRDefault="00B21651">
      <w:pPr>
        <w:spacing w:after="0" w:line="360" w:lineRule="auto"/>
        <w:ind w:left="709"/>
        <w:jc w:val="both"/>
        <w:rPr>
          <w:rFonts w:ascii="Times New Roman Bold" w:eastAsia="Times New Roman Bold" w:hAnsi="Times New Roman Bold" w:cs="Times New Roman Bold"/>
          <w:sz w:val="24"/>
          <w:szCs w:val="24"/>
          <w:lang w:val="en-US"/>
        </w:rPr>
      </w:pPr>
      <w:r>
        <w:rPr>
          <w:rFonts w:ascii="Times New Roman Bold"/>
          <w:sz w:val="24"/>
          <w:szCs w:val="24"/>
          <w:lang w:val="en-US"/>
        </w:rPr>
        <w:t>Skorokhod A. A.: ORCiD 0000-0002-3571-2265</w:t>
      </w:r>
    </w:p>
    <w:p w:rsidR="00B912A7" w:rsidRDefault="00B21651">
      <w:pPr>
        <w:spacing w:after="0" w:line="360" w:lineRule="auto"/>
        <w:ind w:left="709"/>
        <w:jc w:val="both"/>
        <w:rPr>
          <w:rFonts w:ascii="Times New Roman Bold" w:eastAsia="Times New Roman Bold" w:hAnsi="Times New Roman Bold" w:cs="Times New Roman Bold"/>
          <w:sz w:val="24"/>
          <w:szCs w:val="24"/>
          <w:lang w:val="en-US"/>
        </w:rPr>
      </w:pPr>
      <w:r>
        <w:rPr>
          <w:rFonts w:ascii="Times New Roman Bold"/>
          <w:sz w:val="24"/>
          <w:szCs w:val="24"/>
          <w:lang w:val="en-US"/>
        </w:rPr>
        <w:t>Corresponding Author: Mokhnitskaya D. S., E-mail: 123job345@gmal.com</w:t>
      </w:r>
    </w:p>
    <w:p w:rsidR="00B912A7" w:rsidRDefault="00443A62">
      <w:pPr>
        <w:spacing w:after="0" w:line="240" w:lineRule="auto"/>
        <w:ind w:left="709"/>
        <w:jc w:val="both"/>
        <w:rPr>
          <w:rFonts w:ascii="Times New Roman Bold" w:eastAsia="Times New Roman Bold" w:hAnsi="Times New Roman Bold" w:cs="Times New Roman Bold"/>
          <w:sz w:val="24"/>
          <w:szCs w:val="24"/>
          <w:lang w:val="en-US"/>
        </w:rPr>
      </w:pPr>
      <w:r w:rsidRPr="00443A62">
        <w:rPr>
          <w:rFonts w:ascii="Times New Roman Bold"/>
          <w:b/>
          <w:sz w:val="24"/>
          <w:szCs w:val="24"/>
          <w:lang w:val="en-US"/>
        </w:rPr>
        <w:t>Abstract</w:t>
      </w:r>
      <w:r w:rsidR="00B21651" w:rsidRPr="00443A62">
        <w:rPr>
          <w:rFonts w:ascii="Times New Roman Bold"/>
          <w:b/>
          <w:sz w:val="24"/>
          <w:szCs w:val="24"/>
          <w:lang w:val="en-US"/>
        </w:rPr>
        <w:t>:</w:t>
      </w:r>
      <w:r w:rsidR="00B21651">
        <w:rPr>
          <w:rFonts w:ascii="Times New Roman Bold"/>
          <w:sz w:val="24"/>
          <w:szCs w:val="24"/>
          <w:lang w:val="en-US"/>
        </w:rPr>
        <w:t xml:space="preserve"> A study was conducted on the development of banking in the Russian Federation and in the countries of the world. It was determined that open banking in all countries of the world is at the stage of development. Based on literature, a comprehensive an</w:t>
      </w:r>
      <w:r w:rsidR="00B21651">
        <w:rPr>
          <w:rFonts w:ascii="Times New Roman Bold"/>
          <w:sz w:val="24"/>
          <w:szCs w:val="24"/>
          <w:lang w:val="en-US"/>
        </w:rPr>
        <w:t>alysis of open banking functioning was conducted. Among the main problems the security risk, isolation and increased competition between banks were identified.</w:t>
      </w:r>
    </w:p>
    <w:p w:rsidR="00B912A7" w:rsidRDefault="00B21651">
      <w:pPr>
        <w:spacing w:after="0" w:line="240" w:lineRule="auto"/>
        <w:ind w:left="709"/>
        <w:jc w:val="both"/>
        <w:rPr>
          <w:rFonts w:ascii="Times New Roman Bold" w:eastAsia="Times New Roman Bold" w:hAnsi="Times New Roman Bold" w:cs="Times New Roman Bold"/>
          <w:sz w:val="24"/>
          <w:szCs w:val="24"/>
          <w:lang w:val="en-US"/>
        </w:rPr>
      </w:pPr>
      <w:r>
        <w:rPr>
          <w:rFonts w:ascii="Times New Roman Bold"/>
          <w:sz w:val="24"/>
          <w:szCs w:val="24"/>
          <w:lang w:val="en-US"/>
        </w:rPr>
        <w:t>Keywords: open banking, PSD2 standards, aggregation site, the latest financial technologies.</w:t>
      </w:r>
    </w:p>
    <w:p w:rsidR="00B912A7" w:rsidRDefault="00B912A7">
      <w:pPr>
        <w:spacing w:after="0" w:line="240" w:lineRule="auto"/>
        <w:ind w:firstLine="851"/>
        <w:jc w:val="both"/>
        <w:rPr>
          <w:rFonts w:ascii="Times New Roman Bold" w:eastAsia="Times New Roman Bold" w:hAnsi="Times New Roman Bold" w:cs="Times New Roman Bold"/>
          <w:sz w:val="24"/>
          <w:szCs w:val="24"/>
          <w:lang w:val="en-US"/>
        </w:rPr>
      </w:pPr>
    </w:p>
    <w:p w:rsidR="00B912A7" w:rsidRPr="00443A62" w:rsidRDefault="00B21651">
      <w:pPr>
        <w:pStyle w:val="1"/>
        <w:spacing w:before="0" w:line="360" w:lineRule="auto"/>
        <w:rPr>
          <w:rFonts w:ascii="Times New Roman Bold" w:eastAsia="Times New Roman Bold" w:hAnsi="Times New Roman Bold" w:cs="Times New Roman Bold"/>
          <w:b/>
          <w:color w:val="000000"/>
          <w:sz w:val="28"/>
          <w:szCs w:val="28"/>
          <w:u w:color="000000"/>
        </w:rPr>
      </w:pPr>
      <w:r w:rsidRPr="00443A62">
        <w:rPr>
          <w:rFonts w:ascii="Times New Roman Bold"/>
          <w:b/>
          <w:color w:val="000000"/>
          <w:sz w:val="28"/>
          <w:szCs w:val="28"/>
          <w:u w:color="000000"/>
        </w:rPr>
        <w:t>In</w:t>
      </w:r>
      <w:r w:rsidRPr="00443A62">
        <w:rPr>
          <w:rFonts w:ascii="Times New Roman Bold"/>
          <w:b/>
          <w:color w:val="000000"/>
          <w:sz w:val="28"/>
          <w:szCs w:val="28"/>
          <w:u w:color="000000"/>
        </w:rPr>
        <w:t>troduction</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twenty-first century is an era of high technology. The introduction of information systems in all spheres of human activity allowed to provide high-quality and high-speed processing of information. One of the latest banking products that gai</w:t>
      </w:r>
      <w:r>
        <w:rPr>
          <w:rFonts w:ascii="Times New Roman Bold"/>
          <w:sz w:val="28"/>
          <w:szCs w:val="28"/>
          <w:lang w:val="en-US"/>
        </w:rPr>
        <w:t>ned popularity is open banking.</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Open banking is a system that provides the user with a network of financial institution data using application programming interfaces, commonly known as APIs. API (Application Programming Interface) - a set of protocols and </w:t>
      </w:r>
      <w:r>
        <w:rPr>
          <w:rFonts w:ascii="Times New Roman Bold"/>
          <w:sz w:val="28"/>
          <w:szCs w:val="28"/>
          <w:lang w:val="en-US"/>
        </w:rPr>
        <w:t>tools for creating applications and software. API allows programmers to access certain functions or application data [2].</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relevance of the study is due to the high level of development dynamics of the latest technologies in the banking sector, among wh</w:t>
      </w:r>
      <w:r>
        <w:rPr>
          <w:rFonts w:ascii="Times New Roman Bold"/>
          <w:sz w:val="28"/>
          <w:szCs w:val="28"/>
          <w:lang w:val="en-US"/>
        </w:rPr>
        <w:t>ich open banking is one of the most important.</w:t>
      </w:r>
    </w:p>
    <w:p w:rsidR="00B912A7" w:rsidRDefault="00B21651">
      <w:pPr>
        <w:spacing w:after="0" w:line="360" w:lineRule="auto"/>
        <w:jc w:val="both"/>
        <w:rPr>
          <w:rFonts w:ascii="Times New Roman Bold" w:eastAsia="Times New Roman Bold" w:hAnsi="Times New Roman Bold" w:cs="Times New Roman Bold"/>
          <w:lang w:val="en-US"/>
        </w:rPr>
      </w:pPr>
      <w:r>
        <w:rPr>
          <w:rFonts w:ascii="Times New Roman Bold"/>
          <w:sz w:val="28"/>
          <w:szCs w:val="28"/>
          <w:lang w:val="en-US"/>
        </w:rPr>
        <w:t>Objective: to identify risks and threats to the development of open banking in the field of AML / CFT based on the study of the nature and principles of open banking in Russia and in the world.</w:t>
      </w:r>
      <w:r>
        <w:rPr>
          <w:rFonts w:ascii="Times New Roman Bold"/>
          <w:lang w:val="en-US"/>
        </w:rPr>
        <w:t xml:space="preserve"> </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w:lang w:val="en-US"/>
        </w:rPr>
        <w:t>M</w:t>
      </w:r>
      <w:r>
        <w:rPr>
          <w:rFonts w:ascii="Times New Roman"/>
          <w:sz w:val="28"/>
          <w:szCs w:val="28"/>
          <w:lang w:val="en-US"/>
        </w:rPr>
        <w:t>aterials</w:t>
      </w:r>
      <w:r>
        <w:rPr>
          <w:rFonts w:ascii="Times New Roman Bold"/>
          <w:sz w:val="28"/>
          <w:szCs w:val="28"/>
          <w:lang w:val="en-US"/>
        </w:rPr>
        <w:t xml:space="preserve"> from</w:t>
      </w:r>
      <w:r>
        <w:rPr>
          <w:rFonts w:ascii="Times New Roman Bold"/>
          <w:sz w:val="28"/>
          <w:szCs w:val="28"/>
          <w:lang w:val="en-US"/>
        </w:rPr>
        <w:t xml:space="preserve"> foreign scientific websites, interviews with specialists in the banking sector were used for this study. With the help of such scientific methods as analysis, </w:t>
      </w:r>
      <w:r>
        <w:rPr>
          <w:rFonts w:ascii="Times New Roman Bold"/>
          <w:sz w:val="28"/>
          <w:szCs w:val="28"/>
          <w:lang w:val="en-US"/>
        </w:rPr>
        <w:lastRenderedPageBreak/>
        <w:t>synthesis, modelling and synchronic method, the study of open banking as the newest direction in</w:t>
      </w:r>
      <w:r>
        <w:rPr>
          <w:rFonts w:ascii="Times New Roman Bold"/>
          <w:sz w:val="28"/>
          <w:szCs w:val="28"/>
          <w:lang w:val="en-US"/>
        </w:rPr>
        <w:t xml:space="preserve"> the field of financial technologies was carried out.</w:t>
      </w:r>
    </w:p>
    <w:p w:rsidR="00B912A7" w:rsidRPr="00443A62" w:rsidRDefault="00B21651">
      <w:pPr>
        <w:spacing w:after="0" w:line="360" w:lineRule="auto"/>
        <w:jc w:val="both"/>
        <w:rPr>
          <w:rFonts w:ascii="Times New Roman Bold" w:eastAsia="Times New Roman Bold" w:hAnsi="Times New Roman Bold" w:cs="Times New Roman Bold"/>
          <w:b/>
          <w:sz w:val="28"/>
          <w:szCs w:val="28"/>
          <w:lang w:val="en-US"/>
        </w:rPr>
      </w:pPr>
      <w:r w:rsidRPr="00443A62">
        <w:rPr>
          <w:rFonts w:ascii="Times New Roman Bold"/>
          <w:b/>
          <w:sz w:val="28"/>
          <w:szCs w:val="28"/>
          <w:lang w:val="en-US"/>
        </w:rPr>
        <w:t>Material and Theoretical Bases of Research</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To date, most of the world's population uses the services of the banking sector. In addition, customers tend to have more than one account in resident and non-</w:t>
      </w:r>
      <w:r>
        <w:rPr>
          <w:rFonts w:ascii="Times New Roman Bold"/>
          <w:sz w:val="28"/>
          <w:szCs w:val="28"/>
          <w:lang w:val="en-US"/>
        </w:rPr>
        <w:t>resident banks. At the moment account management takes a significant part of the time. A study conducted by Ipsos Mori for Barclays Bank in 2015 shows that 40% of respondents were ready to disclose their data in order to receive free personal finance manag</w:t>
      </w:r>
      <w:r>
        <w:rPr>
          <w:rFonts w:ascii="Times New Roman Bold"/>
          <w:sz w:val="28"/>
          <w:szCs w:val="28"/>
          <w:lang w:val="en-US"/>
        </w:rPr>
        <w:t>ement services. Accenture's research conducted in 2016 shows that 85% of respondents in the 18-24 age group agree to entrust the consolidation of their financial data to third parties. [4]</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solution to this issue was the creation and development of software to aggregate customer banking information. Open banking can be considered the second generation of software that allows you to aggregate financial information. Before banks began offer</w:t>
      </w:r>
      <w:r>
        <w:rPr>
          <w:rFonts w:ascii="Times New Roman Bold"/>
          <w:sz w:val="28"/>
          <w:szCs w:val="28"/>
          <w:lang w:val="en-US"/>
        </w:rPr>
        <w:t xml:space="preserve">ing open banking to customers, the most accessible was the aggregation website of Mint or Personal Capital, which combines user account data from all of its financial institutions so that customers can see them in one place. Such services require users to </w:t>
      </w:r>
      <w:r>
        <w:rPr>
          <w:rFonts w:ascii="Times New Roman Bold"/>
          <w:sz w:val="28"/>
          <w:szCs w:val="28"/>
          <w:lang w:val="en-US"/>
        </w:rPr>
        <w:t>transfer their user names and passwords for each account. Obviously, there was a problem of security of client credentials. APIs are considered a more secure option, because they allow applications to exchange data without accounting credentials.</w:t>
      </w:r>
    </w:p>
    <w:p w:rsidR="00B912A7" w:rsidRDefault="00B21651">
      <w:pPr>
        <w:spacing w:after="0" w:line="360" w:lineRule="auto"/>
        <w:jc w:val="both"/>
        <w:rPr>
          <w:rFonts w:ascii="Times New Roman Bold"/>
          <w:sz w:val="28"/>
          <w:szCs w:val="28"/>
          <w:lang w:val="en-US"/>
        </w:rPr>
      </w:pPr>
      <w:r>
        <w:rPr>
          <w:rFonts w:ascii="Times New Roman Bold"/>
          <w:sz w:val="28"/>
          <w:szCs w:val="28"/>
          <w:lang w:val="en-US"/>
        </w:rPr>
        <w:t>Open bank</w:t>
      </w:r>
      <w:r>
        <w:rPr>
          <w:rFonts w:ascii="Times New Roman Bold"/>
          <w:sz w:val="28"/>
          <w:szCs w:val="28"/>
          <w:lang w:val="en-US"/>
        </w:rPr>
        <w:t>ing is an innovation in the global financial services market. As shown in Table 1, to date, the idea of open banking is actively developing in the market of the EU countries, the USA, Australia and other countries of the world [3].</w:t>
      </w:r>
    </w:p>
    <w:p w:rsidR="00443A62" w:rsidRDefault="00443A62">
      <w:pPr>
        <w:spacing w:after="0" w:line="240" w:lineRule="auto"/>
        <w:rPr>
          <w:rFonts w:ascii="Times New Roman Bold"/>
          <w:sz w:val="28"/>
          <w:szCs w:val="28"/>
          <w:lang w:val="en-US"/>
        </w:rPr>
      </w:pPr>
      <w:r>
        <w:rPr>
          <w:rFonts w:ascii="Times New Roman Bold"/>
          <w:sz w:val="28"/>
          <w:szCs w:val="28"/>
          <w:lang w:val="en-US"/>
        </w:rPr>
        <w:br w:type="page"/>
      </w:r>
    </w:p>
    <w:p w:rsidR="00B912A7" w:rsidRDefault="00B21651">
      <w:pPr>
        <w:spacing w:after="0" w:line="360" w:lineRule="auto"/>
        <w:ind w:firstLine="709"/>
        <w:jc w:val="center"/>
        <w:rPr>
          <w:rFonts w:ascii="Times New Roman Bold" w:eastAsia="Times New Roman Bold" w:hAnsi="Times New Roman Bold" w:cs="Times New Roman Bold"/>
          <w:sz w:val="20"/>
          <w:szCs w:val="20"/>
          <w:lang w:val="en-US"/>
        </w:rPr>
      </w:pPr>
      <w:r>
        <w:rPr>
          <w:rFonts w:ascii="Times New Roman Bold"/>
          <w:sz w:val="20"/>
          <w:szCs w:val="20"/>
          <w:lang w:val="en-US"/>
        </w:rPr>
        <w:lastRenderedPageBreak/>
        <w:t>Table 1. - Developm</w:t>
      </w:r>
      <w:r>
        <w:rPr>
          <w:rFonts w:ascii="Times New Roman Bold"/>
          <w:sz w:val="20"/>
          <w:szCs w:val="20"/>
          <w:lang w:val="en-US"/>
        </w:rPr>
        <w:t>ent of open banking in the world</w:t>
      </w:r>
    </w:p>
    <w:tbl>
      <w:tblPr>
        <w:tblStyle w:val="TableNormal"/>
        <w:tblW w:w="974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1555"/>
        <w:gridCol w:w="1672"/>
        <w:gridCol w:w="6520"/>
      </w:tblGrid>
      <w:tr w:rsidR="00B912A7" w:rsidTr="00443A62">
        <w:tblPrEx>
          <w:tblCellMar>
            <w:top w:w="0" w:type="dxa"/>
            <w:left w:w="0" w:type="dxa"/>
            <w:bottom w:w="0" w:type="dxa"/>
            <w:right w:w="0" w:type="dxa"/>
          </w:tblCellMar>
        </w:tblPrEx>
        <w:trPr>
          <w:trHeight w:val="97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B912A7" w:rsidRDefault="00B21651" w:rsidP="00443A62">
            <w:pPr>
              <w:spacing w:line="240" w:lineRule="auto"/>
              <w:ind w:left="113" w:right="113"/>
              <w:jc w:val="center"/>
            </w:pPr>
            <w:r>
              <w:rPr>
                <w:rFonts w:ascii="Times New Roman"/>
                <w:sz w:val="20"/>
                <w:szCs w:val="20"/>
                <w:lang w:val="en-US"/>
              </w:rPr>
              <w:t>C</w:t>
            </w:r>
            <w:r>
              <w:rPr>
                <w:rFonts w:ascii="Times New Roman"/>
                <w:sz w:val="20"/>
                <w:szCs w:val="20"/>
              </w:rPr>
              <w:t>ountry</w:t>
            </w:r>
            <w:r>
              <w:rPr>
                <w:rFonts w:ascii="Times New Roman"/>
                <w:sz w:val="20"/>
                <w:szCs w:val="20"/>
                <w:lang w:val="en-US"/>
              </w:rPr>
              <w:t xml:space="preserve"> </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Pr="00443A62" w:rsidRDefault="00B21651" w:rsidP="00443A62">
            <w:pPr>
              <w:spacing w:after="0" w:line="240" w:lineRule="auto"/>
              <w:jc w:val="center"/>
              <w:rPr>
                <w:lang w:val="en-US"/>
              </w:rPr>
            </w:pPr>
            <w:r>
              <w:rPr>
                <w:rFonts w:ascii="Times New Roman"/>
                <w:sz w:val="20"/>
                <w:szCs w:val="20"/>
                <w:lang w:val="en-US"/>
              </w:rPr>
              <w:t>The planned period for the introduction of open banking</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Default="00B21651" w:rsidP="00443A62">
            <w:pPr>
              <w:spacing w:after="0" w:line="240" w:lineRule="auto"/>
              <w:jc w:val="center"/>
            </w:pPr>
            <w:r>
              <w:rPr>
                <w:rFonts w:ascii="Times New Roman"/>
                <w:sz w:val="20"/>
                <w:szCs w:val="20"/>
              </w:rPr>
              <w:t>System Features</w:t>
            </w:r>
          </w:p>
        </w:tc>
      </w:tr>
      <w:tr w:rsidR="00B912A7" w:rsidRPr="00443A62" w:rsidTr="00443A62">
        <w:tblPrEx>
          <w:tblCellMar>
            <w:top w:w="0" w:type="dxa"/>
            <w:left w:w="0" w:type="dxa"/>
            <w:bottom w:w="0" w:type="dxa"/>
            <w:right w:w="0" w:type="dxa"/>
          </w:tblCellMar>
        </w:tblPrEx>
        <w:trPr>
          <w:trHeight w:val="217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B912A7" w:rsidRDefault="00B21651" w:rsidP="00443A62">
            <w:pPr>
              <w:spacing w:after="0" w:line="240" w:lineRule="auto"/>
              <w:ind w:left="113" w:right="113"/>
              <w:jc w:val="center"/>
            </w:pPr>
            <w:r>
              <w:rPr>
                <w:rFonts w:ascii="Times New Roman"/>
                <w:sz w:val="20"/>
                <w:szCs w:val="20"/>
              </w:rPr>
              <w:t>European Union</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Pr="00443A62" w:rsidRDefault="00B21651" w:rsidP="00443A62">
            <w:pPr>
              <w:spacing w:after="0" w:line="240" w:lineRule="auto"/>
              <w:jc w:val="both"/>
              <w:rPr>
                <w:lang w:val="en-US"/>
              </w:rPr>
            </w:pPr>
            <w:r>
              <w:rPr>
                <w:rFonts w:ascii="Times New Roman"/>
                <w:sz w:val="20"/>
                <w:szCs w:val="20"/>
                <w:lang w:val="en-US"/>
              </w:rPr>
              <w:t xml:space="preserve">There is a payment directive PSD2 approved in 2015. The main platform for the development of open banking interfaces, which </w:t>
            </w:r>
            <w:r>
              <w:rPr>
                <w:rFonts w:ascii="Times New Roman"/>
                <w:sz w:val="20"/>
                <w:szCs w:val="20"/>
                <w:lang w:val="en-US"/>
              </w:rPr>
              <w:t>will be introduced during the year, is considered.</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Pr="00443A62" w:rsidRDefault="00B21651" w:rsidP="00443A62">
            <w:pPr>
              <w:spacing w:after="0" w:line="240" w:lineRule="auto"/>
              <w:jc w:val="both"/>
              <w:rPr>
                <w:lang w:val="en-US"/>
              </w:rPr>
            </w:pPr>
            <w:r>
              <w:rPr>
                <w:rFonts w:ascii="Times New Roman"/>
                <w:sz w:val="20"/>
                <w:szCs w:val="20"/>
                <w:lang w:val="en-US"/>
              </w:rPr>
              <w:t xml:space="preserve">Association of banks and payment enterprises - the Berlin Group, promoting uniform standards for accessing bank accounts via API in accordance with PSD2 rules. The European payment directive provided the </w:t>
            </w:r>
            <w:r>
              <w:rPr>
                <w:rFonts w:ascii="Times New Roman"/>
                <w:sz w:val="20"/>
                <w:szCs w:val="20"/>
                <w:lang w:val="en-US"/>
              </w:rPr>
              <w:t xml:space="preserve">market with new operations - "initiation of payment" and "account information", regulated by external service providers (TPPs - Third Party Providers) and activated through a special account access interface (XS2A - Access to Account) between the bank and </w:t>
            </w:r>
            <w:r>
              <w:rPr>
                <w:rFonts w:ascii="Times New Roman"/>
                <w:sz w:val="20"/>
                <w:szCs w:val="20"/>
                <w:lang w:val="en-US"/>
              </w:rPr>
              <w:t>the provider .</w:t>
            </w:r>
          </w:p>
        </w:tc>
      </w:tr>
      <w:tr w:rsidR="00B912A7" w:rsidRPr="00443A62" w:rsidTr="00443A62">
        <w:tblPrEx>
          <w:tblCellMar>
            <w:top w:w="0" w:type="dxa"/>
            <w:left w:w="0" w:type="dxa"/>
            <w:bottom w:w="0" w:type="dxa"/>
            <w:right w:w="0" w:type="dxa"/>
          </w:tblCellMar>
        </w:tblPrEx>
        <w:trPr>
          <w:trHeight w:val="62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B912A7" w:rsidRDefault="00B21651" w:rsidP="00443A62">
            <w:pPr>
              <w:spacing w:after="0" w:line="240" w:lineRule="auto"/>
              <w:ind w:left="113" w:right="113"/>
              <w:jc w:val="center"/>
            </w:pPr>
            <w:r>
              <w:rPr>
                <w:rFonts w:ascii="Times New Roman"/>
                <w:sz w:val="20"/>
                <w:szCs w:val="20"/>
              </w:rPr>
              <w:t>United Kingdom</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Default="00B21651" w:rsidP="00443A62">
            <w:pPr>
              <w:spacing w:after="0" w:line="240" w:lineRule="auto"/>
              <w:jc w:val="both"/>
            </w:pPr>
            <w:r>
              <w:rPr>
                <w:rFonts w:ascii="Times New Roman"/>
                <w:sz w:val="20"/>
                <w:szCs w:val="20"/>
              </w:rPr>
              <w:t>The beginning of 2018.</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Pr="00443A62" w:rsidRDefault="00B21651" w:rsidP="00443A62">
            <w:pPr>
              <w:spacing w:after="0" w:line="240" w:lineRule="auto"/>
              <w:jc w:val="both"/>
              <w:rPr>
                <w:lang w:val="en-US"/>
              </w:rPr>
            </w:pPr>
            <w:r>
              <w:rPr>
                <w:rFonts w:ascii="Times New Roman"/>
                <w:sz w:val="20"/>
                <w:szCs w:val="20"/>
                <w:shd w:val="clear" w:color="auto" w:fill="FFFFFF"/>
                <w:lang w:val="en-US"/>
              </w:rPr>
              <w:t>Introduction of standards and APIs for viewing transactions of personal and business work accounts and initiate payments from these accounts to organizations, with the permission of the client.</w:t>
            </w:r>
          </w:p>
        </w:tc>
      </w:tr>
      <w:tr w:rsidR="00B912A7" w:rsidRPr="00443A62" w:rsidTr="00443A62">
        <w:tblPrEx>
          <w:tblCellMar>
            <w:top w:w="0" w:type="dxa"/>
            <w:left w:w="0" w:type="dxa"/>
            <w:bottom w:w="0" w:type="dxa"/>
            <w:right w:w="0" w:type="dxa"/>
          </w:tblCellMar>
        </w:tblPrEx>
        <w:trPr>
          <w:trHeight w:val="73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B912A7" w:rsidRDefault="00B21651" w:rsidP="00443A62">
            <w:pPr>
              <w:spacing w:after="0" w:line="240" w:lineRule="auto"/>
              <w:ind w:left="113" w:right="113"/>
              <w:jc w:val="center"/>
            </w:pPr>
            <w:r>
              <w:rPr>
                <w:rFonts w:ascii="Times New Roman"/>
                <w:sz w:val="20"/>
                <w:szCs w:val="20"/>
              </w:rPr>
              <w:t>Australia</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Default="00B21651" w:rsidP="00443A62">
            <w:pPr>
              <w:spacing w:after="0" w:line="240" w:lineRule="auto"/>
              <w:jc w:val="both"/>
            </w:pPr>
            <w:r>
              <w:rPr>
                <w:rFonts w:ascii="Times New Roman"/>
                <w:sz w:val="20"/>
                <w:szCs w:val="20"/>
                <w:shd w:val="clear" w:color="auto" w:fill="FFFFFF"/>
              </w:rPr>
              <w:t>2017-18</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Pr="00443A62" w:rsidRDefault="00B21651" w:rsidP="00443A62">
            <w:pPr>
              <w:spacing w:after="0" w:line="240" w:lineRule="auto"/>
              <w:jc w:val="both"/>
              <w:rPr>
                <w:lang w:val="en-US"/>
              </w:rPr>
            </w:pPr>
            <w:r>
              <w:rPr>
                <w:rFonts w:ascii="Times New Roman"/>
                <w:sz w:val="20"/>
                <w:szCs w:val="20"/>
                <w:lang w:val="en-US"/>
              </w:rPr>
              <w:t xml:space="preserve">The government announced the opening of an open banking regime in Australia. An independent review is conducted to identify a better approach to the implementation of the open banking regime in Australia. The results of the review should </w:t>
            </w:r>
            <w:r>
              <w:rPr>
                <w:rFonts w:ascii="Times New Roman"/>
                <w:sz w:val="20"/>
                <w:szCs w:val="20"/>
                <w:lang w:val="en-US"/>
              </w:rPr>
              <w:t>be submitted by the end of 2017.</w:t>
            </w:r>
          </w:p>
        </w:tc>
      </w:tr>
      <w:tr w:rsidR="00B912A7" w:rsidRPr="00443A62" w:rsidTr="00443A62">
        <w:tblPrEx>
          <w:tblCellMar>
            <w:top w:w="0" w:type="dxa"/>
            <w:left w:w="0" w:type="dxa"/>
            <w:bottom w:w="0" w:type="dxa"/>
            <w:right w:w="0" w:type="dxa"/>
          </w:tblCellMar>
        </w:tblPrEx>
        <w:trPr>
          <w:trHeight w:val="153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B912A7" w:rsidRDefault="00B21651" w:rsidP="00443A62">
            <w:pPr>
              <w:spacing w:after="0" w:line="240" w:lineRule="auto"/>
              <w:ind w:left="113" w:right="113"/>
              <w:jc w:val="center"/>
            </w:pPr>
            <w:r>
              <w:rPr>
                <w:rFonts w:ascii="Times New Roman"/>
                <w:sz w:val="20"/>
                <w:szCs w:val="20"/>
              </w:rPr>
              <w:t>Germany</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Pr="00443A62" w:rsidRDefault="00B21651" w:rsidP="00443A62">
            <w:pPr>
              <w:spacing w:after="0" w:line="240" w:lineRule="auto"/>
              <w:jc w:val="both"/>
              <w:rPr>
                <w:lang w:val="en-US"/>
              </w:rPr>
            </w:pPr>
            <w:r>
              <w:rPr>
                <w:rFonts w:ascii="Times New Roman"/>
                <w:sz w:val="20"/>
                <w:szCs w:val="20"/>
                <w:lang w:val="en-US"/>
              </w:rPr>
              <w:t>In 2010, an open banking system was introduced.</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Default="00B21651" w:rsidP="00443A62">
            <w:pPr>
              <w:spacing w:after="0" w:line="240" w:lineRule="auto"/>
              <w:jc w:val="both"/>
              <w:rPr>
                <w:rFonts w:ascii="Times New Roman" w:eastAsia="Times New Roman" w:hAnsi="Times New Roman" w:cs="Times New Roman"/>
                <w:sz w:val="20"/>
                <w:szCs w:val="20"/>
                <w:lang w:val="en-US"/>
              </w:rPr>
            </w:pPr>
            <w:r>
              <w:rPr>
                <w:rFonts w:ascii="Times New Roman"/>
                <w:sz w:val="20"/>
                <w:szCs w:val="20"/>
                <w:lang w:val="en-US"/>
              </w:rPr>
              <w:t xml:space="preserve">With the cooperation of the largest state banks, the Open Bank Project (OBP) is developing. The main task is to form an open API for banks, which developers and </w:t>
            </w:r>
            <w:r>
              <w:rPr>
                <w:rFonts w:ascii="Times New Roman"/>
                <w:sz w:val="20"/>
                <w:szCs w:val="20"/>
                <w:lang w:val="en-US"/>
              </w:rPr>
              <w:t>finteh companies can use to create client-oriented applications and services that require access to certain information, such as the history of executed transactions and lists of accounts. In addition to accessing the client data of the OBP API, it is poss</w:t>
            </w:r>
            <w:r>
              <w:rPr>
                <w:rFonts w:ascii="Times New Roman"/>
                <w:sz w:val="20"/>
                <w:szCs w:val="20"/>
                <w:lang w:val="en-US"/>
              </w:rPr>
              <w:t>ible to extract "open data": lists of divisions and ATMs, a description of banking products.</w:t>
            </w:r>
          </w:p>
        </w:tc>
      </w:tr>
      <w:tr w:rsidR="00B912A7" w:rsidRPr="00443A62" w:rsidTr="00443A62">
        <w:tblPrEx>
          <w:tblCellMar>
            <w:top w:w="0" w:type="dxa"/>
            <w:left w:w="0" w:type="dxa"/>
            <w:bottom w:w="0" w:type="dxa"/>
            <w:right w:w="0" w:type="dxa"/>
          </w:tblCellMar>
        </w:tblPrEx>
        <w:trPr>
          <w:trHeight w:val="170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rsidR="00B912A7" w:rsidRDefault="00B21651" w:rsidP="00443A62">
            <w:pPr>
              <w:spacing w:after="0" w:line="240" w:lineRule="auto"/>
              <w:ind w:left="113" w:right="113"/>
              <w:jc w:val="center"/>
            </w:pPr>
            <w:r>
              <w:rPr>
                <w:rFonts w:ascii="Times New Roman"/>
                <w:sz w:val="20"/>
                <w:szCs w:val="20"/>
              </w:rPr>
              <w:t>Russia</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Default="00B21651" w:rsidP="00443A62">
            <w:pPr>
              <w:spacing w:after="0" w:line="240" w:lineRule="auto"/>
              <w:jc w:val="both"/>
            </w:pPr>
            <w:r>
              <w:rPr>
                <w:rFonts w:ascii="Times New Roman"/>
                <w:sz w:val="20"/>
                <w:szCs w:val="20"/>
              </w:rPr>
              <w:t>It is approximately 2028 year.</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Default="00B21651" w:rsidP="00443A62">
            <w:pPr>
              <w:spacing w:after="0" w:line="240" w:lineRule="auto"/>
              <w:jc w:val="both"/>
              <w:rPr>
                <w:rFonts w:ascii="Times New Roman" w:eastAsia="Times New Roman" w:hAnsi="Times New Roman" w:cs="Times New Roman"/>
                <w:sz w:val="20"/>
                <w:szCs w:val="20"/>
                <w:lang w:val="en-US"/>
              </w:rPr>
            </w:pPr>
            <w:r>
              <w:rPr>
                <w:rFonts w:ascii="Times New Roman"/>
                <w:sz w:val="20"/>
                <w:szCs w:val="20"/>
                <w:lang w:val="en-US"/>
              </w:rPr>
              <w:t xml:space="preserve">The introduction of open banking is worth taking a closer look at how it will evolve in Europe. After, taking into account </w:t>
            </w:r>
            <w:r>
              <w:rPr>
                <w:rFonts w:ascii="Times New Roman"/>
                <w:sz w:val="20"/>
                <w:szCs w:val="20"/>
                <w:lang w:val="en-US"/>
              </w:rPr>
              <w:t>the already existing experience, apply the working technology in Russia.</w:t>
            </w:r>
          </w:p>
          <w:p w:rsidR="00B912A7" w:rsidRPr="00443A62" w:rsidRDefault="00B21651" w:rsidP="00443A62">
            <w:pPr>
              <w:spacing w:after="0" w:line="240" w:lineRule="auto"/>
              <w:jc w:val="both"/>
              <w:rPr>
                <w:lang w:val="en-US"/>
              </w:rPr>
            </w:pPr>
            <w:r>
              <w:rPr>
                <w:rFonts w:ascii="Times New Roman"/>
                <w:sz w:val="20"/>
                <w:szCs w:val="20"/>
                <w:lang w:val="en-US"/>
              </w:rPr>
              <w:t>Bank Opening in the autumn of 2016 presented the API to the client's private office and the card-to-card transfer service to the finalists of the Finteh Open Fights competition. The c</w:t>
            </w:r>
            <w:r>
              <w:rPr>
                <w:rFonts w:ascii="Times New Roman"/>
                <w:sz w:val="20"/>
                <w:szCs w:val="20"/>
                <w:lang w:val="en-US"/>
              </w:rPr>
              <w:t>ompany in one of the largest state-owned banks in Russia recently introduced a mobile banking system on the InterBank RS platform, which uses REST APIs with the properties of "openness".</w:t>
            </w:r>
          </w:p>
        </w:tc>
      </w:tr>
    </w:tbl>
    <w:p w:rsidR="00B912A7" w:rsidRDefault="00B912A7" w:rsidP="00443A62">
      <w:pPr>
        <w:spacing w:after="0" w:line="240" w:lineRule="auto"/>
        <w:ind w:firstLine="709"/>
        <w:jc w:val="center"/>
        <w:rPr>
          <w:rFonts w:ascii="Times New Roman Bold" w:eastAsia="Times New Roman Bold" w:hAnsi="Times New Roman Bold" w:cs="Times New Roman Bold"/>
          <w:sz w:val="20"/>
          <w:szCs w:val="20"/>
          <w:lang w:val="en-US"/>
        </w:rPr>
      </w:pPr>
    </w:p>
    <w:p w:rsidR="00B912A7" w:rsidRDefault="00B912A7" w:rsidP="00443A62">
      <w:pPr>
        <w:spacing w:after="0" w:line="360" w:lineRule="auto"/>
        <w:rPr>
          <w:rFonts w:ascii="Times New Roman Bold" w:eastAsia="Times New Roman Bold" w:hAnsi="Times New Roman Bold" w:cs="Times New Roman Bold"/>
          <w:sz w:val="28"/>
          <w:szCs w:val="28"/>
          <w:lang w:val="en-US"/>
        </w:rPr>
      </w:pPr>
    </w:p>
    <w:p w:rsidR="00B912A7" w:rsidRDefault="00B21651" w:rsidP="00443A62">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obtained data allowed to form a timetable for introducing open</w:t>
      </w:r>
      <w:r>
        <w:rPr>
          <w:rFonts w:ascii="Times New Roman Bold"/>
          <w:sz w:val="28"/>
          <w:szCs w:val="28"/>
          <w:lang w:val="en-US"/>
        </w:rPr>
        <w:t xml:space="preserve"> banking into the banking sector. As shown in Fig. 1, Germany became the first country to implement the principles of open banking in the national banking system. For Russia, the issue of introducing open banking is at the development stage.</w:t>
      </w:r>
    </w:p>
    <w:p w:rsidR="00B912A7" w:rsidRDefault="00B912A7" w:rsidP="00443A62">
      <w:pPr>
        <w:spacing w:after="0" w:line="360" w:lineRule="auto"/>
        <w:ind w:firstLine="709"/>
        <w:rPr>
          <w:rFonts w:ascii="Times New Roman Bold" w:eastAsia="Times New Roman Bold" w:hAnsi="Times New Roman Bold" w:cs="Times New Roman Bold"/>
          <w:sz w:val="28"/>
          <w:szCs w:val="28"/>
          <w:lang w:val="en-US"/>
        </w:rPr>
      </w:pPr>
    </w:p>
    <w:p w:rsidR="00B912A7" w:rsidRDefault="00B21651">
      <w:pPr>
        <w:spacing w:after="0" w:line="360" w:lineRule="auto"/>
        <w:ind w:firstLine="709"/>
        <w:rPr>
          <w:rFonts w:ascii="Times New Roman Bold" w:eastAsia="Times New Roman Bold" w:hAnsi="Times New Roman Bold" w:cs="Times New Roman Bold"/>
          <w:sz w:val="28"/>
          <w:szCs w:val="28"/>
          <w:lang w:val="en-US"/>
        </w:rPr>
      </w:pPr>
      <w:r>
        <w:rPr>
          <w:noProof/>
          <w:lang w:eastAsia="ru-RU"/>
        </w:rPr>
        <w:drawing>
          <wp:inline distT="0" distB="0" distL="0" distR="0">
            <wp:extent cx="5205363" cy="1765060"/>
            <wp:effectExtent l="0" t="0" r="0" b="0"/>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912A7" w:rsidRDefault="00B21651">
      <w:pPr>
        <w:spacing w:after="0" w:line="360" w:lineRule="auto"/>
        <w:jc w:val="center"/>
        <w:rPr>
          <w:rFonts w:ascii="Times New Roman Bold" w:eastAsia="Times New Roman Bold" w:hAnsi="Times New Roman Bold" w:cs="Times New Roman Bold"/>
          <w:sz w:val="20"/>
          <w:szCs w:val="20"/>
          <w:lang w:val="en-US"/>
        </w:rPr>
      </w:pPr>
      <w:r>
        <w:rPr>
          <w:rFonts w:ascii="Times New Roman Bold"/>
          <w:sz w:val="20"/>
          <w:szCs w:val="20"/>
          <w:lang w:val="en-US"/>
        </w:rPr>
        <w:t>Figure 1 - Implementation of open banking in the world</w:t>
      </w:r>
    </w:p>
    <w:p w:rsidR="00B912A7" w:rsidRDefault="00B912A7">
      <w:pPr>
        <w:spacing w:after="0" w:line="360" w:lineRule="auto"/>
        <w:rPr>
          <w:rFonts w:ascii="Times New Roman Bold" w:eastAsia="Times New Roman Bold" w:hAnsi="Times New Roman Bold" w:cs="Times New Roman Bold"/>
          <w:sz w:val="28"/>
          <w:szCs w:val="28"/>
          <w:lang w:val="en-US"/>
        </w:rPr>
      </w:pP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Over the past decade, the banking services market has undergone dramatic changes that are directly related to the use and active implementation of innovative technologies, many of wh</w:t>
      </w:r>
      <w:r>
        <w:rPr>
          <w:rFonts w:ascii="Times New Roman Bold"/>
          <w:sz w:val="28"/>
          <w:szCs w:val="28"/>
          <w:lang w:val="en-US"/>
        </w:rPr>
        <w:t>ich have fallen outside the scope of the first directive. The European Commission in July 2013 decided to revise PSD 1 in order to close all the unaccounted for and regulatory problems, to bring the current provisions to match the current realities in bank</w:t>
      </w:r>
      <w:r>
        <w:rPr>
          <w:rFonts w:ascii="Times New Roman Bold"/>
          <w:sz w:val="28"/>
          <w:szCs w:val="28"/>
          <w:lang w:val="en-US"/>
        </w:rPr>
        <w:t>ing services.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PSD2 directive creates the basis for a completely new financial system, radically different from the old one, it regulates the principles of interaction between market participants, consumer rights, and regulates payment services.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Let's </w:t>
      </w:r>
      <w:r>
        <w:rPr>
          <w:rFonts w:ascii="Times New Roman Bold"/>
          <w:sz w:val="28"/>
          <w:szCs w:val="28"/>
          <w:lang w:val="en-US"/>
        </w:rPr>
        <w:t>analyze the key provisions of the PSD2 directive.</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Regulation 1 of the PSD2 directive introduces a new type of institution in the legal field - financial intermediaries, for which two new licenses will be created. However, in this case, new licenses are not</w:t>
      </w:r>
      <w:r>
        <w:rPr>
          <w:rFonts w:ascii="Times New Roman Bold"/>
          <w:sz w:val="28"/>
          <w:szCs w:val="28"/>
          <w:lang w:val="en-US"/>
        </w:rPr>
        <w:t xml:space="preserve"> intended to improve the established concept of a financial intermediary, in this case, service providers come to the forefront, and the system of classical contractual relationships that are inherent in financial intermediaries is replaced by cybernetic o</w:t>
      </w:r>
      <w:r>
        <w:rPr>
          <w:rFonts w:ascii="Times New Roman Bold"/>
          <w:sz w:val="28"/>
          <w:szCs w:val="28"/>
          <w:lang w:val="en-US"/>
        </w:rPr>
        <w:t>nes, which will be legislated. The PSD2 directive introduces two new licenses to create two new types of financial intermediaries.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first license provides creation of payment initiation services provider, which are interfaces for making payments and act</w:t>
      </w:r>
      <w:r>
        <w:rPr>
          <w:rFonts w:ascii="Times New Roman Bold"/>
          <w:sz w:val="28"/>
          <w:szCs w:val="28"/>
          <w:lang w:val="en-US"/>
        </w:rPr>
        <w:t xml:space="preserve"> as intermediaries for the holder and consumer of funding sources. These services are given the right to debit funds from any accounts created in any financial institution without agreement.</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lastRenderedPageBreak/>
        <w:t>According to the second license, it is envisaged to create servic</w:t>
      </w:r>
      <w:r>
        <w:rPr>
          <w:rFonts w:ascii="Times New Roman Bold"/>
          <w:sz w:val="28"/>
          <w:szCs w:val="28"/>
          <w:lang w:val="en-US"/>
        </w:rPr>
        <w:t>es for aggregating financial information (account information service providers) that request information from financial organizations on behalf of the client about the status of their accounts and consolidate it. In this case, the main meaning is in the w</w:t>
      </w:r>
      <w:r>
        <w:rPr>
          <w:rFonts w:ascii="Times New Roman Bold"/>
          <w:sz w:val="28"/>
          <w:szCs w:val="28"/>
          <w:lang w:val="en-US"/>
        </w:rPr>
        <w:t>ords "on behalf of the client". Such an instruction can be received when signing any of the offers.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question arises as to why it is necessary to create exactly two new types of financial intermediaries. The answer is: the first is inadequate without th</w:t>
      </w:r>
      <w:r>
        <w:rPr>
          <w:rFonts w:ascii="Times New Roman Bold"/>
          <w:sz w:val="28"/>
          <w:szCs w:val="28"/>
          <w:lang w:val="en-US"/>
        </w:rPr>
        <w:t>e second, which in its most powerful form, through the offers of technology IT companies such as Apple, Microsoft, will be only for the Americans.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second provision of the PSD2 Directive requires all financial institutions to provide all new financial i</w:t>
      </w:r>
      <w:r>
        <w:rPr>
          <w:rFonts w:ascii="Times New Roman Bold"/>
          <w:sz w:val="28"/>
          <w:szCs w:val="28"/>
          <w:lang w:val="en-US"/>
        </w:rPr>
        <w:t>ntermediaries without a separate agreement. And since the new financial intermediaries are IT companies, in fact, the directive obliges banks to transfer their basic functions to these IT companies.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Regulation 3 provides the establishment in the European U</w:t>
      </w:r>
      <w:r>
        <w:rPr>
          <w:rFonts w:ascii="Times New Roman Bold"/>
          <w:sz w:val="28"/>
          <w:szCs w:val="28"/>
          <w:lang w:val="en-US"/>
        </w:rPr>
        <w:t xml:space="preserve">nion of a pan-European register of organizations that are assigned the status of payment institutions and their agents. This provision will be implemented, most likely, by creating 13 root Internet DNS servers, which will store complete copies of an array </w:t>
      </w:r>
      <w:r>
        <w:rPr>
          <w:rFonts w:ascii="Times New Roman Bold"/>
          <w:sz w:val="28"/>
          <w:szCs w:val="28"/>
          <w:lang w:val="en-US"/>
        </w:rPr>
        <w:t>of data from the entire planet. This innovation can be described as the complete integration of countries in the overall financial system of the world. However, if you consider the situation when one of the countries in which one of the servers will be loc</w:t>
      </w:r>
      <w:r>
        <w:rPr>
          <w:rFonts w:ascii="Times New Roman Bold"/>
          <w:sz w:val="28"/>
          <w:szCs w:val="28"/>
          <w:lang w:val="en-US"/>
        </w:rPr>
        <w:t>ated decides to disconnect from the new financial system, it will be possible to save only the internal payment system. If the country fails to maintain its internal payment system, the exit from the new system threatens to lose its own Internet and the co</w:t>
      </w:r>
      <w:r>
        <w:rPr>
          <w:rFonts w:ascii="Times New Roman Bold"/>
          <w:sz w:val="28"/>
          <w:szCs w:val="28"/>
          <w:lang w:val="en-US"/>
        </w:rPr>
        <w:t>llapse of the country's entire payment system.</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fourth provision allows the provision of payment services by "payment institutions". Under this category, the directive is understood by all payment institutions that are not banks.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Regulation 6 of the dir</w:t>
      </w:r>
      <w:r>
        <w:rPr>
          <w:rFonts w:ascii="Times New Roman Bold"/>
          <w:sz w:val="28"/>
          <w:szCs w:val="28"/>
          <w:lang w:val="en-US"/>
        </w:rPr>
        <w:t xml:space="preserve">ective establishes that states have the right to release payment institutions with an annual turnover of up to 3 million euros from all claims. In this case, the financial industry has a value for the state as a guiding one. It is also very </w:t>
      </w:r>
      <w:r>
        <w:rPr>
          <w:rFonts w:ascii="Times New Roman Bold"/>
          <w:sz w:val="28"/>
          <w:szCs w:val="28"/>
          <w:lang w:val="en-US"/>
        </w:rPr>
        <w:lastRenderedPageBreak/>
        <w:t>likely that one</w:t>
      </w:r>
      <w:r>
        <w:rPr>
          <w:rFonts w:ascii="Times New Roman Bold"/>
          <w:sz w:val="28"/>
          <w:szCs w:val="28"/>
          <w:lang w:val="en-US"/>
        </w:rPr>
        <w:t xml:space="preserve"> main institute will be created, which guarantees the possibility of forcible introduction of a certificate by technological corporations, which hinders the cybernetic links between financial institutions. Thus, using the liquidity of the Fed, it will be p</w:t>
      </w:r>
      <w:r>
        <w:rPr>
          <w:rFonts w:ascii="Times New Roman Bold"/>
          <w:sz w:val="28"/>
          <w:szCs w:val="28"/>
          <w:lang w:val="en-US"/>
        </w:rPr>
        <w:t>ossible to build a hierarchical pyramid, headed by someone who has this certificate and liquidity.</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Provision 7 of the PSD2 directive requires that strong authentication should be used when accessing accounts. Most likely, authentication will be used in an </w:t>
      </w:r>
      <w:r>
        <w:rPr>
          <w:rFonts w:ascii="Times New Roman Bold"/>
          <w:sz w:val="28"/>
          <w:szCs w:val="28"/>
          <w:lang w:val="en-US"/>
        </w:rPr>
        <w:t>extremely strong form, which means that when an automatic fraud filter takes you as a fraudster, it will call the police on GPS coordinates instantly. At the same time, the user himself accepted an offer that identifies him.</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Regulation 8 states that, as be</w:t>
      </w:r>
      <w:r>
        <w:rPr>
          <w:rFonts w:ascii="Times New Roman Bold"/>
          <w:sz w:val="28"/>
          <w:szCs w:val="28"/>
          <w:lang w:val="en-US"/>
        </w:rPr>
        <w:t>fore, transfer orders must be executed on the next business day, however for some financial institutions this period may be extended to 4 days. These "some cases" will refer to the top of the hierarchical pyramid, about which the assumption was made earlie</w:t>
      </w:r>
      <w:r>
        <w:rPr>
          <w:rFonts w:ascii="Times New Roman Bold"/>
          <w:sz w:val="28"/>
          <w:szCs w:val="28"/>
          <w:lang w:val="en-US"/>
        </w:rPr>
        <w:t>r.</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Regulation 10 of the PD2 directive stipulates that the provisions of the directive should be implemented in national legislation by January 13, 2018, and during 2017-2018 at least 10 explanatory documents and technical standards necessary for the effect</w:t>
      </w:r>
      <w:r>
        <w:rPr>
          <w:rFonts w:ascii="Times New Roman Bold"/>
          <w:sz w:val="28"/>
          <w:szCs w:val="28"/>
          <w:lang w:val="en-US"/>
        </w:rPr>
        <w:t>ive implementation of the directive will be prepared.</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Thus, it is necessary to connect multidisciplinary specialists (supercomplex modelling), which are able to compare factors from the following fields of knowledge, such as international law, information </w:t>
      </w:r>
      <w:r>
        <w:rPr>
          <w:rFonts w:ascii="Times New Roman Bold"/>
          <w:sz w:val="28"/>
          <w:szCs w:val="28"/>
          <w:lang w:val="en-US"/>
        </w:rPr>
        <w:t>technology, electronic payment technologies, marketing, social engineering and international taxation.</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We can say that PSD2 is in some way an absolute breakthrough in the financial sphere, but in this document there are many shortcomings and understatement</w:t>
      </w:r>
      <w:r>
        <w:rPr>
          <w:rFonts w:ascii="Times New Roman Bold"/>
          <w:sz w:val="28"/>
          <w:szCs w:val="28"/>
          <w:lang w:val="en-US"/>
        </w:rPr>
        <w:t>s. Undoubtedly, traditional institutions should be preserved during the transition period. However, if in the meantime a pyramid of financial intermediaries is built, then a new financial system of the world, based on PSD2, will collapse. As a variant of c</w:t>
      </w:r>
      <w:r>
        <w:rPr>
          <w:rFonts w:ascii="Times New Roman Bold"/>
          <w:sz w:val="28"/>
          <w:szCs w:val="28"/>
          <w:lang w:val="en-US"/>
        </w:rPr>
        <w:t>ounteraction to the top of the pyramid of financial intermediaries, is the creation of its own alternative top of this pyramid ahead of schedule. However, in this case, there can be no sets of "peaks" in this system, since the financial system is driven by</w:t>
      </w:r>
      <w:r>
        <w:rPr>
          <w:rFonts w:ascii="Times New Roman Bold"/>
          <w:sz w:val="28"/>
          <w:szCs w:val="28"/>
          <w:lang w:val="en-US"/>
        </w:rPr>
        <w:t xml:space="preserve"> cybernetic technologies to the point </w:t>
      </w:r>
      <w:r>
        <w:rPr>
          <w:rFonts w:ascii="Times New Roman Bold"/>
          <w:sz w:val="28"/>
          <w:szCs w:val="28"/>
          <w:lang w:val="en-US"/>
        </w:rPr>
        <w:lastRenderedPageBreak/>
        <w:t>of singularity from which there are only two outputs: a natural solution: the infusion of all into this global payment system under a common certificate for all the appearance of a universal "pay" button provided by th</w:t>
      </w:r>
      <w:r>
        <w:rPr>
          <w:rFonts w:ascii="Times New Roman Bold"/>
          <w:sz w:val="28"/>
          <w:szCs w:val="28"/>
          <w:lang w:val="en-US"/>
        </w:rPr>
        <w:t>e intermediary intermediary, which is at the top of the entire hierarchical pyramid of intermediaries or an absolute exit from this system and a return to paper money.</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Open banking is designed to improve the customer</w:t>
      </w:r>
      <w:r>
        <w:rPr>
          <w:rFonts w:hAnsi="Times New Roman Bold"/>
          <w:sz w:val="28"/>
          <w:szCs w:val="28"/>
          <w:lang w:val="en-US"/>
        </w:rPr>
        <w:t>’</w:t>
      </w:r>
      <w:r>
        <w:rPr>
          <w:rFonts w:ascii="Times New Roman Bold"/>
          <w:sz w:val="28"/>
          <w:szCs w:val="28"/>
          <w:lang w:val="en-US"/>
        </w:rPr>
        <w:t>s bank experience in several ways. This</w:t>
      </w:r>
      <w:r>
        <w:rPr>
          <w:rFonts w:ascii="Times New Roman Bold"/>
          <w:sz w:val="28"/>
          <w:szCs w:val="28"/>
          <w:lang w:val="en-US"/>
        </w:rPr>
        <w:t xml:space="preserve"> forces large, established banks to be more competitive with smaller and newer banks, which ideally leads to lower costs, better technology and better customer service. Open banking rules require that banks publish, both on the Internet and within their br</w:t>
      </w:r>
      <w:r>
        <w:rPr>
          <w:rFonts w:ascii="Times New Roman Bold"/>
          <w:sz w:val="28"/>
          <w:szCs w:val="28"/>
          <w:lang w:val="en-US"/>
        </w:rPr>
        <w:t>anches, accurate and impartial information that allows consumers to assess the quality of their services, the movement towards transparency, designed to motivate banks to ensure the best quality of customer service. Banks also need to notify customers abou</w:t>
      </w:r>
      <w:r>
        <w:rPr>
          <w:rFonts w:ascii="Times New Roman Bold"/>
          <w:sz w:val="28"/>
          <w:szCs w:val="28"/>
          <w:lang w:val="en-US"/>
        </w:rPr>
        <w:t>t unexpected overdrafts and give them a grace period to fix the problem and avoid an overdraft.</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Open banking is the main source of innovation in the banking sector. For example, API interfaces can alleviate the sometimes burdensome process of transition fr</w:t>
      </w:r>
      <w:r>
        <w:rPr>
          <w:rFonts w:ascii="Times New Roman Bold"/>
          <w:sz w:val="28"/>
          <w:szCs w:val="28"/>
          <w:lang w:val="en-US"/>
        </w:rPr>
        <w:t xml:space="preserve">om using a service of a settlement account of one bank to another bank. The API can also view transaction data from consumers to determine the best financial products and services for them, such as a new savings account that will receive a higher interest </w:t>
      </w:r>
      <w:r>
        <w:rPr>
          <w:rFonts w:ascii="Times New Roman Bold"/>
          <w:sz w:val="28"/>
          <w:szCs w:val="28"/>
          <w:lang w:val="en-US"/>
        </w:rPr>
        <w:t>rate than the current savings account or another credit card with a lower interest rate.</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Through the use of network accounts, open banking can also help lenders obtain a more accurate picture of the financial situation and the level of risk to consumers in</w:t>
      </w:r>
      <w:r>
        <w:rPr>
          <w:rFonts w:ascii="Times New Roman Bold"/>
          <w:sz w:val="28"/>
          <w:szCs w:val="28"/>
          <w:lang w:val="en-US"/>
        </w:rPr>
        <w:t xml:space="preserve"> order to offer more suitable credit conditions. It can also help consumers get a more accurate picture of their finances before taking on debt. An open banking application for customers who want to buy a house can automatically calculate whether customers</w:t>
      </w:r>
      <w:r>
        <w:rPr>
          <w:rFonts w:ascii="Times New Roman Bold"/>
          <w:sz w:val="28"/>
          <w:szCs w:val="28"/>
          <w:lang w:val="en-US"/>
        </w:rPr>
        <w:t xml:space="preserve"> can afford a mortgage based on all the information on their accounts. Such a calculation will provide a more reliable picture than recommendations for mortgage lending currently provide. Another application can help clients with impaired vision better und</w:t>
      </w:r>
      <w:r>
        <w:rPr>
          <w:rFonts w:ascii="Times New Roman Bold"/>
          <w:sz w:val="28"/>
          <w:szCs w:val="28"/>
          <w:lang w:val="en-US"/>
        </w:rPr>
        <w:t xml:space="preserve">erstand their finances with the help of voice commands. Open banking can also </w:t>
      </w:r>
      <w:r>
        <w:rPr>
          <w:rFonts w:ascii="Times New Roman Bold"/>
          <w:sz w:val="28"/>
          <w:szCs w:val="28"/>
          <w:lang w:val="en-US"/>
        </w:rPr>
        <w:lastRenderedPageBreak/>
        <w:t>help small businesses save time through online accounting and help fraud detection companies better track customer accounts and identify problems earlier.</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development of open</w:t>
      </w:r>
      <w:r>
        <w:rPr>
          <w:rFonts w:ascii="Times New Roman Bold"/>
          <w:sz w:val="28"/>
          <w:szCs w:val="28"/>
          <w:lang w:val="en-US"/>
        </w:rPr>
        <w:t xml:space="preserve"> banking will be another step towards better monitoring of financial activities.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For Russia, the issue of introducing open banking is at the development stage. At the moment, the Russian association "FinTech" has been established, which includes Sberbank, </w:t>
      </w:r>
      <w:r>
        <w:rPr>
          <w:rFonts w:ascii="Times New Roman Bold"/>
          <w:sz w:val="28"/>
          <w:szCs w:val="28"/>
          <w:lang w:val="en-US"/>
        </w:rPr>
        <w:t>VTB, Gazprombank, Alfa Bank, Otkrytie, QIWI and the National Payment Card System.</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main objectives of the Association's work are the development and implementation of new technological solutions to ensure the development of the Russian financial market,</w:t>
      </w:r>
      <w:r>
        <w:rPr>
          <w:rFonts w:ascii="Times New Roman Bold"/>
          <w:sz w:val="28"/>
          <w:szCs w:val="28"/>
          <w:lang w:val="en-US"/>
        </w:rPr>
        <w:t xml:space="preserve"> as well as creating conditions for the digitalization of the economy of the Russian Federation.</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main objectives of the Association will be the development and implementation of new technological solutions to ensure the development of the Russian fina</w:t>
      </w:r>
      <w:r>
        <w:rPr>
          <w:rFonts w:ascii="Times New Roman Bold"/>
          <w:sz w:val="28"/>
          <w:szCs w:val="28"/>
          <w:lang w:val="en-US"/>
        </w:rPr>
        <w:t>ncial market, as well as creating conditions for the digitalization of the economy of the Russian Federation," said the Deputy Chairman of the Central Bank, Olga Skorobogatova. [5]</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effectiveness of introducing technologies related to open banking in Ru</w:t>
      </w:r>
      <w:r>
        <w:rPr>
          <w:rFonts w:ascii="Times New Roman Bold"/>
          <w:sz w:val="28"/>
          <w:szCs w:val="28"/>
          <w:lang w:val="en-US"/>
        </w:rPr>
        <w:t>ssia can only be investigated by analogy with the development of the Internet banking sector. Since today's Internet banking users will act as the main target audience while introducing open banking.</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In 2016, the third wave of the study of the current stat</w:t>
      </w:r>
      <w:r>
        <w:rPr>
          <w:rFonts w:ascii="Times New Roman Bold"/>
          <w:sz w:val="28"/>
          <w:szCs w:val="28"/>
          <w:lang w:val="en-US"/>
        </w:rPr>
        <w:t>e and dynamics of financial change in the online environment in Russia was held. This study was conducted from the point of view of the end user.</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In Russia, the number of Internet users is 81.8 million people [6], which is about 70% of the population of Russia. At the same time, 97% of Internet users are clients of Russian banks, and about 75% of them use the channel of remote control of their accou</w:t>
      </w:r>
      <w:r>
        <w:rPr>
          <w:rFonts w:ascii="Times New Roman Bold"/>
          <w:sz w:val="28"/>
          <w:szCs w:val="28"/>
          <w:lang w:val="en-US"/>
        </w:rPr>
        <w:t>nts. The most popular example of such a bank remote control channel is the Internet bank. At least one Internet bank uses about 64.5% of Internet users, which is 35.3 million. [6].</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lastRenderedPageBreak/>
        <w:t>Consider the intersection of the audience of online banking and mobile bank</w:t>
      </w:r>
      <w:r>
        <w:rPr>
          <w:rFonts w:ascii="Times New Roman Bold"/>
          <w:sz w:val="28"/>
          <w:szCs w:val="28"/>
          <w:lang w:val="en-US"/>
        </w:rPr>
        <w:t>ing users for 2016 (Figure 2) [7].</w:t>
      </w:r>
    </w:p>
    <w:p w:rsidR="00B912A7" w:rsidRDefault="00B912A7">
      <w:pPr>
        <w:spacing w:after="0" w:line="360" w:lineRule="auto"/>
        <w:ind w:firstLine="709"/>
        <w:jc w:val="both"/>
        <w:rPr>
          <w:rFonts w:ascii="Times New Roman Bold" w:eastAsia="Times New Roman Bold" w:hAnsi="Times New Roman Bold" w:cs="Times New Roman Bold"/>
          <w:sz w:val="28"/>
          <w:szCs w:val="28"/>
          <w:lang w:val="en-US"/>
        </w:rPr>
      </w:pP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noProof/>
          <w:lang w:eastAsia="ru-RU"/>
        </w:rPr>
        <w:drawing>
          <wp:inline distT="0" distB="0" distL="0" distR="0">
            <wp:extent cx="1759973" cy="1759973"/>
            <wp:effectExtent l="0" t="0" r="0" b="0"/>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Bold" w:eastAsia="Times New Roman Bold" w:hAnsi="Times New Roman Bold" w:cs="Times New Roman Bold"/>
          <w:noProof/>
          <w:lang w:eastAsia="ru-RU"/>
        </w:rPr>
        <mc:AlternateContent>
          <mc:Choice Requires="wps">
            <w:drawing>
              <wp:inline distT="0" distB="0" distL="0" distR="0">
                <wp:extent cx="934385" cy="0"/>
                <wp:effectExtent l="0" t="0" r="0" b="0"/>
                <wp:docPr id="1073741827" name="officeArt object"/>
                <wp:cNvGraphicFramePr/>
                <a:graphic xmlns:a="http://schemas.openxmlformats.org/drawingml/2006/main">
                  <a:graphicData uri="http://schemas.microsoft.com/office/word/2010/wordprocessingShape">
                    <wps:wsp>
                      <wps:cNvCnPr/>
                      <wps:spPr>
                        <a:xfrm>
                          <a:off x="0" y="0"/>
                          <a:ext cx="934385" cy="0"/>
                        </a:xfrm>
                        <a:prstGeom prst="line">
                          <a:avLst/>
                        </a:prstGeom>
                        <a:noFill/>
                        <a:ln w="9525" cap="flat">
                          <a:solidFill>
                            <a:srgbClr val="4A7EBB"/>
                          </a:solidFill>
                          <a:prstDash val="solid"/>
                          <a:bevel/>
                          <a:tailEnd type="triangle" w="med" len="med"/>
                        </a:ln>
                        <a:effectLst/>
                      </wps:spPr>
                      <wps:bodyPr/>
                    </wps:wsp>
                  </a:graphicData>
                </a:graphic>
              </wp:inline>
            </w:drawing>
          </mc:Choice>
          <mc:Fallback>
            <w:pict>
              <v:line id="_x0000_s1026" style="visibility:visible;width:73.6pt;height:0.0pt;">
                <v:fill on="f"/>
                <v:stroke filltype="solid" color="#4A7EBB" opacity="100.0%" weight="0.8pt" dashstyle="solid" endcap="flat" joinstyle="bevel" linestyle="single" startarrow="none" startarrowwidth="medium" startarrowlength="medium" endarrow="block" endarrowwidth="medium" endarrowlength="medium"/>
              </v:line>
            </w:pict>
          </mc:Fallback>
        </mc:AlternateContent>
      </w:r>
      <w:r>
        <w:rPr>
          <w:rFonts w:ascii="Times New Roman Bold" w:eastAsia="Times New Roman Bold" w:hAnsi="Times New Roman Bold" w:cs="Times New Roman Bold"/>
          <w:noProof/>
          <w:lang w:eastAsia="ru-RU"/>
        </w:rPr>
        <mc:AlternateContent>
          <mc:Choice Requires="wps">
            <w:drawing>
              <wp:inline distT="0" distB="0" distL="0" distR="0">
                <wp:extent cx="928551" cy="615030"/>
                <wp:effectExtent l="0" t="0" r="0" b="0"/>
                <wp:docPr id="1073741828" name="officeArt object"/>
                <wp:cNvGraphicFramePr/>
                <a:graphic xmlns:a="http://schemas.openxmlformats.org/drawingml/2006/main">
                  <a:graphicData uri="http://schemas.microsoft.com/office/word/2010/wordprocessingShape">
                    <wps:wsp>
                      <wps:cNvSpPr/>
                      <wps:spPr>
                        <a:xfrm>
                          <a:off x="0" y="0"/>
                          <a:ext cx="928551" cy="615030"/>
                        </a:xfrm>
                        <a:prstGeom prst="rect">
                          <a:avLst/>
                        </a:prstGeom>
                        <a:noFill/>
                        <a:ln w="12700" cap="flat">
                          <a:noFill/>
                          <a:miter lim="400000"/>
                        </a:ln>
                        <a:effectLst/>
                      </wps:spPr>
                      <wps:txbx>
                        <w:txbxContent>
                          <w:p w:rsidR="00B912A7" w:rsidRDefault="00B21651">
                            <w:pPr>
                              <w:pStyle w:val="Body"/>
                              <w:tabs>
                                <w:tab w:val="left" w:pos="1440"/>
                              </w:tabs>
                              <w:suppressAutoHyphens/>
                              <w:outlineLvl w:val="0"/>
                            </w:pPr>
                            <w:r>
                              <w:rPr>
                                <w:rFonts w:ascii="Times New Roman"/>
                                <w:sz w:val="20"/>
                                <w:szCs w:val="20"/>
                              </w:rPr>
                              <w:t>Do not use anything</w:t>
                            </w:r>
                          </w:p>
                        </w:txbxContent>
                      </wps:txbx>
                      <wps:bodyPr wrap="square" lIns="45719" tIns="45719" rIns="45719" bIns="45719" numCol="1" anchor="t">
                        <a:noAutofit/>
                      </wps:bodyPr>
                    </wps:wsp>
                  </a:graphicData>
                </a:graphic>
              </wp:inline>
            </w:drawing>
          </mc:Choice>
          <mc:Fallback>
            <w:pict>
              <v:rect id="officeArt object" o:spid="_x0000_s1026" style="width:73.1pt;height:4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" filled="f" stroked="f" strokeweight="1pt">
                <v:stroke miterlimit="4"/>
                <v:textbox inset="1.27mm,1.27mm,1.27mm,1.27mm">
                  <w:txbxContent>
                    <w:p w:rsidR="00B912A7" w:rsidRDefault="00B21651">
                      <w:pPr>
                        <w:pStyle w:val="Body"/>
                        <w:tabs>
                          <w:tab w:val="left" w:pos="1440"/>
                        </w:tabs>
                        <w:suppressAutoHyphens/>
                        <w:outlineLvl w:val="0"/>
                      </w:pPr>
                      <w:r>
                        <w:rPr>
                          <w:rFonts w:ascii="Times New Roman"/>
                          <w:sz w:val="20"/>
                          <w:szCs w:val="20"/>
                        </w:rPr>
                        <w:t>Do not use anything</w:t>
                      </w:r>
                    </w:p>
                  </w:txbxContent>
                </v:textbox>
                <w10:anchorlock/>
              </v:rect>
            </w:pict>
          </mc:Fallback>
        </mc:AlternateContent>
      </w:r>
      <w:r>
        <w:rPr>
          <w:rFonts w:ascii="Times New Roman Bold" w:eastAsia="Times New Roman Bold" w:hAnsi="Times New Roman Bold" w:cs="Times New Roman Bold"/>
          <w:noProof/>
          <w:lang w:eastAsia="ru-RU"/>
        </w:rPr>
        <mc:AlternateContent>
          <mc:Choice Requires="wps">
            <w:drawing>
              <wp:inline distT="0" distB="0" distL="0" distR="0">
                <wp:extent cx="934385" cy="0"/>
                <wp:effectExtent l="0" t="0" r="0" b="0"/>
                <wp:docPr id="1073741829" name="officeArt object"/>
                <wp:cNvGraphicFramePr/>
                <a:graphic xmlns:a="http://schemas.openxmlformats.org/drawingml/2006/main">
                  <a:graphicData uri="http://schemas.microsoft.com/office/word/2010/wordprocessingShape">
                    <wps:wsp>
                      <wps:cNvCnPr/>
                      <wps:spPr>
                        <a:xfrm>
                          <a:off x="0" y="0"/>
                          <a:ext cx="934385" cy="0"/>
                        </a:xfrm>
                        <a:prstGeom prst="line">
                          <a:avLst/>
                        </a:prstGeom>
                        <a:noFill/>
                        <a:ln w="9525" cap="flat">
                          <a:solidFill>
                            <a:srgbClr val="4A7EBB"/>
                          </a:solidFill>
                          <a:prstDash val="solid"/>
                          <a:bevel/>
                          <a:tailEnd type="triangle" w="med" len="med"/>
                        </a:ln>
                        <a:effectLst/>
                      </wps:spPr>
                      <wps:bodyPr/>
                    </wps:wsp>
                  </a:graphicData>
                </a:graphic>
              </wp:inline>
            </w:drawing>
          </mc:Choice>
          <mc:Fallback>
            <w:pict>
              <v:line id="_x0000_s1028" style="visibility:visible;width:73.6pt;height:0.0pt;">
                <v:fill on="f"/>
                <v:stroke filltype="solid" color="#4A7EBB" opacity="100.0%" weight="0.8pt" dashstyle="solid" endcap="flat" joinstyle="bevel" linestyle="single" startarrow="none" startarrowwidth="medium" startarrowlength="medium" endarrow="block" endarrowwidth="medium" endarrowlength="medium"/>
              </v:line>
            </w:pict>
          </mc:Fallback>
        </mc:AlternateContent>
      </w:r>
      <w:r>
        <w:rPr>
          <w:rFonts w:ascii="Times New Roman Bold" w:eastAsia="Times New Roman Bold" w:hAnsi="Times New Roman Bold" w:cs="Times New Roman Bold"/>
          <w:noProof/>
          <w:lang w:eastAsia="ru-RU"/>
        </w:rPr>
        <mc:AlternateContent>
          <mc:Choice Requires="wps">
            <w:drawing>
              <wp:inline distT="0" distB="0" distL="0" distR="0">
                <wp:extent cx="840914" cy="988804"/>
                <wp:effectExtent l="0" t="0" r="0" b="0"/>
                <wp:docPr id="1073741830" name="officeArt object"/>
                <wp:cNvGraphicFramePr/>
                <a:graphic xmlns:a="http://schemas.openxmlformats.org/drawingml/2006/main">
                  <a:graphicData uri="http://schemas.microsoft.com/office/word/2010/wordprocessingShape">
                    <wps:wsp>
                      <wps:cNvSpPr/>
                      <wps:spPr>
                        <a:xfrm>
                          <a:off x="0" y="0"/>
                          <a:ext cx="840914" cy="988804"/>
                        </a:xfrm>
                        <a:prstGeom prst="rect">
                          <a:avLst/>
                        </a:prstGeom>
                        <a:noFill/>
                        <a:ln w="12700" cap="flat">
                          <a:noFill/>
                          <a:miter lim="400000"/>
                        </a:ln>
                        <a:effectLst/>
                      </wps:spPr>
                      <wps:txbx>
                        <w:txbxContent>
                          <w:p w:rsidR="00B912A7" w:rsidRDefault="00B21651">
                            <w:pPr>
                              <w:pStyle w:val="Body"/>
                              <w:suppressAutoHyphens/>
                              <w:outlineLvl w:val="0"/>
                            </w:pPr>
                            <w:r>
                              <w:rPr>
                                <w:rFonts w:ascii="Times New Roman"/>
                                <w:sz w:val="20"/>
                                <w:szCs w:val="20"/>
                              </w:rPr>
                              <w:t>use an Internet bank and a mobile bank</w:t>
                            </w:r>
                          </w:p>
                        </w:txbxContent>
                      </wps:txbx>
                      <wps:bodyPr wrap="square" lIns="45719" tIns="45719" rIns="45719" bIns="45719" numCol="1" anchor="t">
                        <a:noAutofit/>
                      </wps:bodyPr>
                    </wps:wsp>
                  </a:graphicData>
                </a:graphic>
              </wp:inline>
            </w:drawing>
          </mc:Choice>
          <mc:Fallback>
            <w:pict>
              <v:rect id="_x0000_s1027" style="width:66.2pt;height:7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" filled="f" stroked="f" strokeweight="1pt">
                <v:stroke miterlimit="4"/>
                <v:textbox inset="1.27mm,1.27mm,1.27mm,1.27mm">
                  <w:txbxContent>
                    <w:p w:rsidR="00B912A7" w:rsidRDefault="00B21651">
                      <w:pPr>
                        <w:pStyle w:val="Body"/>
                        <w:suppressAutoHyphens/>
                        <w:outlineLvl w:val="0"/>
                      </w:pPr>
                      <w:r>
                        <w:rPr>
                          <w:rFonts w:ascii="Times New Roman"/>
                          <w:sz w:val="20"/>
                          <w:szCs w:val="20"/>
                        </w:rPr>
                        <w:t>use an Internet bank and a mobile bank</w:t>
                      </w:r>
                    </w:p>
                  </w:txbxContent>
                </v:textbox>
                <w10:anchorlock/>
              </v:rect>
            </w:pict>
          </mc:Fallback>
        </mc:AlternateContent>
      </w:r>
      <w:r>
        <w:rPr>
          <w:rFonts w:ascii="Times New Roman Bold" w:eastAsia="Times New Roman Bold" w:hAnsi="Times New Roman Bold" w:cs="Times New Roman Bold"/>
          <w:noProof/>
          <w:lang w:eastAsia="ru-RU"/>
        </w:rPr>
        <mc:AlternateContent>
          <mc:Choice Requires="wps">
            <w:drawing>
              <wp:inline distT="0" distB="0" distL="0" distR="0">
                <wp:extent cx="608691" cy="0"/>
                <wp:effectExtent l="0" t="0" r="0" b="0"/>
                <wp:docPr id="1073741831" name="officeArt object"/>
                <wp:cNvGraphicFramePr/>
                <a:graphic xmlns:a="http://schemas.openxmlformats.org/drawingml/2006/main">
                  <a:graphicData uri="http://schemas.microsoft.com/office/word/2010/wordprocessingShape">
                    <wps:wsp>
                      <wps:cNvCnPr/>
                      <wps:spPr>
                        <a:xfrm>
                          <a:off x="0" y="0"/>
                          <a:ext cx="608691" cy="0"/>
                        </a:xfrm>
                        <a:prstGeom prst="line">
                          <a:avLst/>
                        </a:prstGeom>
                        <a:noFill/>
                        <a:ln w="9525" cap="flat">
                          <a:solidFill>
                            <a:srgbClr val="4A7EBB"/>
                          </a:solidFill>
                          <a:prstDash val="solid"/>
                          <a:bevel/>
                          <a:tailEnd type="triangle" w="med" len="med"/>
                        </a:ln>
                        <a:effectLst/>
                      </wps:spPr>
                      <wps:bodyPr/>
                    </wps:wsp>
                  </a:graphicData>
                </a:graphic>
              </wp:inline>
            </w:drawing>
          </mc:Choice>
          <mc:Fallback>
            <w:pict>
              <v:line id="_x0000_s1030" style="visibility:visible;width:47.9pt;height:0.0pt;">
                <v:fill on="f"/>
                <v:stroke filltype="solid" color="#4A7EBB" opacity="100.0%" weight="0.8pt" dashstyle="solid" endcap="flat" joinstyle="bevel" linestyle="single" startarrow="none" startarrowwidth="medium" startarrowlength="medium" endarrow="block" endarrowwidth="medium" endarrowlength="medium"/>
              </v:line>
            </w:pict>
          </mc:Fallback>
        </mc:AlternateContent>
      </w:r>
      <w:r>
        <w:rPr>
          <w:rFonts w:ascii="Times New Roman Bold"/>
          <w:sz w:val="28"/>
          <w:szCs w:val="28"/>
          <w:lang w:val="en-US"/>
        </w:rPr>
        <w:t xml:space="preserve"> </w:t>
      </w:r>
      <w:r>
        <w:rPr>
          <w:noProof/>
          <w:lang w:eastAsia="ru-RU"/>
        </w:rPr>
        <w:drawing>
          <wp:inline distT="0" distB="0" distL="0" distR="0">
            <wp:extent cx="1447093" cy="1447093"/>
            <wp:effectExtent l="0" t="0" r="0" b="0"/>
            <wp:docPr id="1073741832"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Bold" w:eastAsia="Times New Roman Bold" w:hAnsi="Times New Roman Bold" w:cs="Times New Roman Bold"/>
          <w:noProof/>
          <w:lang w:eastAsia="ru-RU"/>
        </w:rPr>
        <mc:AlternateContent>
          <mc:Choice Requires="wps">
            <w:drawing>
              <wp:inline distT="0" distB="0" distL="0" distR="0">
                <wp:extent cx="682342" cy="2192241"/>
                <wp:effectExtent l="0" t="0" r="0" b="0"/>
                <wp:docPr id="1073741833" name="officeArt object"/>
                <wp:cNvGraphicFramePr/>
                <a:graphic xmlns:a="http://schemas.openxmlformats.org/drawingml/2006/main">
                  <a:graphicData uri="http://schemas.microsoft.com/office/word/2010/wordprocessingShape">
                    <wps:wsp>
                      <wps:cNvSpPr/>
                      <wps:spPr>
                        <a:xfrm>
                          <a:off x="0" y="0"/>
                          <a:ext cx="682342" cy="2192241"/>
                        </a:xfrm>
                        <a:prstGeom prst="rect">
                          <a:avLst/>
                        </a:prstGeom>
                        <a:noFill/>
                        <a:ln w="12700" cap="flat">
                          <a:noFill/>
                          <a:miter lim="400000"/>
                        </a:ln>
                        <a:effectLst/>
                      </wps:spPr>
                      <wps:txbx>
                        <w:txbxContent>
                          <w:p w:rsidR="00B912A7" w:rsidRDefault="00B21651">
                            <w:pPr>
                              <w:pStyle w:val="Body"/>
                              <w:suppressAutoHyphens/>
                              <w:outlineLvl w:val="0"/>
                            </w:pPr>
                            <w:r>
                              <w:rPr>
                                <w:rFonts w:ascii="Times New Roman"/>
                                <w:sz w:val="20"/>
                                <w:szCs w:val="20"/>
                              </w:rPr>
                              <w:t>use the Internet bank and a mobile bank of different banks</w:t>
                            </w:r>
                          </w:p>
                        </w:txbxContent>
                      </wps:txbx>
                      <wps:bodyPr wrap="square" lIns="45719" tIns="45719" rIns="45719" bIns="45719" numCol="1" anchor="t">
                        <a:noAutofit/>
                      </wps:bodyPr>
                    </wps:wsp>
                  </a:graphicData>
                </a:graphic>
              </wp:inline>
            </w:drawing>
          </mc:Choice>
          <mc:Fallback>
            <w:pict>
              <v:rect id="_x0000_s1028" style="width:53.75pt;height:17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" filled="f" stroked="f" strokeweight="1pt">
                <v:stroke miterlimit="4"/>
                <v:textbox inset="1.27mm,1.27mm,1.27mm,1.27mm">
                  <w:txbxContent>
                    <w:p w:rsidR="00B912A7" w:rsidRDefault="00B21651">
                      <w:pPr>
                        <w:pStyle w:val="Body"/>
                        <w:suppressAutoHyphens/>
                        <w:outlineLvl w:val="0"/>
                      </w:pPr>
                      <w:r>
                        <w:rPr>
                          <w:rFonts w:ascii="Times New Roman"/>
                          <w:sz w:val="20"/>
                          <w:szCs w:val="20"/>
                        </w:rPr>
                        <w:t>use the Internet bank and a mobile bank of different banks</w:t>
                      </w:r>
                    </w:p>
                  </w:txbxContent>
                </v:textbox>
                <w10:anchorlock/>
              </v:rect>
            </w:pict>
          </mc:Fallback>
        </mc:AlternateContent>
      </w:r>
      <w:r>
        <w:rPr>
          <w:rFonts w:ascii="Times New Roman Bold" w:eastAsia="Times New Roman Bold" w:hAnsi="Times New Roman Bold" w:cs="Times New Roman Bold"/>
          <w:noProof/>
          <w:lang w:eastAsia="ru-RU"/>
        </w:rPr>
        <mc:AlternateContent>
          <mc:Choice Requires="wps">
            <w:drawing>
              <wp:inline distT="0" distB="0" distL="0" distR="0">
                <wp:extent cx="814541" cy="1692798"/>
                <wp:effectExtent l="0" t="0" r="0" b="0"/>
                <wp:docPr id="1073741834" name="officeArt object"/>
                <wp:cNvGraphicFramePr/>
                <a:graphic xmlns:a="http://schemas.openxmlformats.org/drawingml/2006/main">
                  <a:graphicData uri="http://schemas.microsoft.com/office/word/2010/wordprocessingShape">
                    <wps:wsp>
                      <wps:cNvSpPr/>
                      <wps:spPr>
                        <a:xfrm>
                          <a:off x="0" y="0"/>
                          <a:ext cx="814541" cy="1692798"/>
                        </a:xfrm>
                        <a:prstGeom prst="rect">
                          <a:avLst/>
                        </a:prstGeom>
                        <a:noFill/>
                        <a:ln w="12700" cap="flat">
                          <a:noFill/>
                          <a:miter lim="400000"/>
                        </a:ln>
                        <a:effectLst/>
                      </wps:spPr>
                      <wps:txbx>
                        <w:txbxContent>
                          <w:p w:rsidR="00B912A7" w:rsidRDefault="00B21651">
                            <w:pPr>
                              <w:pStyle w:val="Body"/>
                              <w:suppressAutoHyphens/>
                              <w:outlineLvl w:val="0"/>
                            </w:pPr>
                            <w:r>
                              <w:rPr>
                                <w:rFonts w:ascii="Times New Roman"/>
                                <w:sz w:val="20"/>
                                <w:szCs w:val="20"/>
                              </w:rPr>
                              <w:t>use an Internet bank and a</w:t>
                            </w:r>
                            <w:r>
                              <w:rPr>
                                <w:rFonts w:ascii="Times New Roman"/>
                                <w:sz w:val="20"/>
                                <w:szCs w:val="20"/>
                              </w:rPr>
                              <w:t xml:space="preserve"> mobile bank of one bank</w:t>
                            </w:r>
                          </w:p>
                        </w:txbxContent>
                      </wps:txbx>
                      <wps:bodyPr wrap="square" lIns="45719" tIns="45719" rIns="45719" bIns="45719" numCol="1" anchor="t">
                        <a:noAutofit/>
                      </wps:bodyPr>
                    </wps:wsp>
                  </a:graphicData>
                </a:graphic>
              </wp:inline>
            </w:drawing>
          </mc:Choice>
          <mc:Fallback>
            <w:pict>
              <v:rect id="_x0000_s1029" style="width:64.15pt;height:1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" filled="f" stroked="f" strokeweight="1pt">
                <v:stroke miterlimit="4"/>
                <v:textbox inset="1.27mm,1.27mm,1.27mm,1.27mm">
                  <w:txbxContent>
                    <w:p w:rsidR="00B912A7" w:rsidRDefault="00B21651">
                      <w:pPr>
                        <w:pStyle w:val="Body"/>
                        <w:suppressAutoHyphens/>
                        <w:outlineLvl w:val="0"/>
                      </w:pPr>
                      <w:r>
                        <w:rPr>
                          <w:rFonts w:ascii="Times New Roman"/>
                          <w:sz w:val="20"/>
                          <w:szCs w:val="20"/>
                        </w:rPr>
                        <w:t>use an Internet bank and a</w:t>
                      </w:r>
                      <w:r>
                        <w:rPr>
                          <w:rFonts w:ascii="Times New Roman"/>
                          <w:sz w:val="20"/>
                          <w:szCs w:val="20"/>
                        </w:rPr>
                        <w:t xml:space="preserve"> mobile bank of one bank</w:t>
                      </w:r>
                    </w:p>
                  </w:txbxContent>
                </v:textbox>
                <w10:anchorlock/>
              </v:rect>
            </w:pict>
          </mc:Fallback>
        </mc:AlternateContent>
      </w:r>
      <w:r>
        <w:rPr>
          <w:rFonts w:ascii="Times New Roman Bold" w:eastAsia="Times New Roman Bold" w:hAnsi="Times New Roman Bold" w:cs="Times New Roman Bold"/>
          <w:noProof/>
          <w:lang w:eastAsia="ru-RU"/>
        </w:rPr>
        <mc:AlternateContent>
          <mc:Choice Requires="wps">
            <w:drawing>
              <wp:inline distT="0" distB="0" distL="0" distR="0">
                <wp:extent cx="428336" cy="104187"/>
                <wp:effectExtent l="0" t="0" r="0" b="0"/>
                <wp:docPr id="1073741835" name="officeArt object"/>
                <wp:cNvGraphicFramePr/>
                <a:graphic xmlns:a="http://schemas.openxmlformats.org/drawingml/2006/main">
                  <a:graphicData uri="http://schemas.microsoft.com/office/word/2010/wordprocessingShape">
                    <wps:wsp>
                      <wps:cNvCnPr/>
                      <wps:spPr>
                        <a:xfrm>
                          <a:off x="0" y="0"/>
                          <a:ext cx="428336" cy="104187"/>
                        </a:xfrm>
                        <a:prstGeom prst="line">
                          <a:avLst/>
                        </a:prstGeom>
                        <a:noFill/>
                        <a:ln w="9525" cap="flat">
                          <a:solidFill>
                            <a:srgbClr val="4A7EBB"/>
                          </a:solidFill>
                          <a:prstDash val="solid"/>
                          <a:bevel/>
                          <a:tailEnd type="triangle" w="med" len="med"/>
                        </a:ln>
                        <a:effectLst/>
                      </wps:spPr>
                      <wps:bodyPr/>
                    </wps:wsp>
                  </a:graphicData>
                </a:graphic>
              </wp:inline>
            </w:drawing>
          </mc:Choice>
          <mc:Fallback>
            <w:pict>
              <v:line id="_x0000_s1033" style="visibility:visible;width:33.7pt;height:8.2pt;">
                <v:fill on="f"/>
                <v:stroke filltype="solid" color="#4A7EBB" opacity="100.0%" weight="0.8pt" dashstyle="solid" endcap="flat" joinstyle="bevel" linestyle="single" startarrow="none" startarrowwidth="medium" startarrowlength="medium" endarrow="block" endarrowwidth="medium" endarrowlength="medium"/>
              </v:line>
            </w:pict>
          </mc:Fallback>
        </mc:AlternateContent>
      </w:r>
    </w:p>
    <w:p w:rsidR="00B912A7" w:rsidRDefault="00B21651">
      <w:pPr>
        <w:spacing w:after="0" w:line="360" w:lineRule="auto"/>
        <w:jc w:val="center"/>
        <w:rPr>
          <w:rFonts w:ascii="Times New Roman Bold" w:eastAsia="Times New Roman Bold" w:hAnsi="Times New Roman Bold" w:cs="Times New Roman Bold"/>
          <w:sz w:val="20"/>
          <w:szCs w:val="20"/>
          <w:lang w:val="en-US"/>
        </w:rPr>
      </w:pPr>
      <w:r>
        <w:rPr>
          <w:rFonts w:ascii="Times New Roman Bold"/>
          <w:sz w:val="20"/>
          <w:szCs w:val="20"/>
          <w:lang w:val="en-US"/>
        </w:rPr>
        <w:t>Figure 2 - Intersection of the audience of Internet banking and mobile banking users for 2016.</w:t>
      </w:r>
    </w:p>
    <w:p w:rsidR="00B912A7" w:rsidRDefault="00B912A7">
      <w:pPr>
        <w:spacing w:after="0" w:line="360" w:lineRule="auto"/>
        <w:rPr>
          <w:rFonts w:ascii="Times New Roman Bold" w:eastAsia="Times New Roman Bold" w:hAnsi="Times New Roman Bold" w:cs="Times New Roman Bold"/>
          <w:sz w:val="28"/>
          <w:szCs w:val="28"/>
          <w:lang w:val="en-US"/>
        </w:rPr>
      </w:pP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largest number of Internet banking customers (28 million people, or almost 82% of Internet banking users) is Sberbank Online. The</w:t>
      </w:r>
      <w:r>
        <w:rPr>
          <w:rFonts w:ascii="Times New Roman Bold"/>
          <w:sz w:val="28"/>
          <w:szCs w:val="28"/>
          <w:lang w:val="en-US"/>
        </w:rPr>
        <w:t>n VTB24-Online, Alpha-click and Tinkoff share the second, third and fourth places among themselves, accounting for 9%, 7%, and 6% of users respectively [7].</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Applications for smartphones are used by about 33% of Internet users in Russia, which is 18.1 milli</w:t>
      </w:r>
      <w:r>
        <w:rPr>
          <w:rFonts w:ascii="Times New Roman Bold"/>
          <w:sz w:val="28"/>
          <w:szCs w:val="28"/>
          <w:lang w:val="en-US"/>
        </w:rPr>
        <w:t>on. Similar to the statistics on the use of Internet banking, the mobile bank, which dominates the number of clients, is Savings Bank: it is used by 14 million people or 78% of the entire mobile banking audience. The second, third and fourth places are occ</w:t>
      </w:r>
      <w:r>
        <w:rPr>
          <w:rFonts w:ascii="Times New Roman Bold"/>
          <w:sz w:val="28"/>
          <w:szCs w:val="28"/>
          <w:lang w:val="en-US"/>
        </w:rPr>
        <w:t>upied by mobile applications of VTB24, Alfa-Bank and Bank Tinkoff, which are used by 8%, 6% and 5% of mobile banking customers in Russia.</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penetration rate of Internet banking services in developed countries, such as the United States and the EU, is abo</w:t>
      </w:r>
      <w:r>
        <w:rPr>
          <w:rFonts w:ascii="Times New Roman Bold"/>
          <w:sz w:val="28"/>
          <w:szCs w:val="28"/>
          <w:lang w:val="en-US"/>
        </w:rPr>
        <w:t xml:space="preserve">ut 92%. There are data on the number of Internet </w:t>
      </w:r>
      <w:r>
        <w:rPr>
          <w:rFonts w:ascii="Times New Roman Bold"/>
          <w:sz w:val="28"/>
          <w:szCs w:val="28"/>
          <w:lang w:val="en-US"/>
        </w:rPr>
        <w:lastRenderedPageBreak/>
        <w:t>banking users in Russia (Table 2), on the basis of which it is possible to construct a regression equation and predict in how many years Russia will reach this level.</w:t>
      </w:r>
    </w:p>
    <w:p w:rsidR="00443A62" w:rsidRDefault="00443A62">
      <w:pPr>
        <w:spacing w:after="0" w:line="360" w:lineRule="auto"/>
        <w:ind w:firstLine="709"/>
        <w:jc w:val="center"/>
        <w:rPr>
          <w:rFonts w:ascii="Times New Roman Bold"/>
          <w:sz w:val="20"/>
          <w:szCs w:val="20"/>
          <w:lang w:val="en-US"/>
        </w:rPr>
      </w:pPr>
    </w:p>
    <w:p w:rsidR="00B912A7" w:rsidRDefault="00B21651">
      <w:pPr>
        <w:spacing w:after="0" w:line="360" w:lineRule="auto"/>
        <w:ind w:firstLine="709"/>
        <w:jc w:val="center"/>
        <w:rPr>
          <w:rFonts w:ascii="Times New Roman Bold" w:eastAsia="Times New Roman Bold" w:hAnsi="Times New Roman Bold" w:cs="Times New Roman Bold"/>
          <w:sz w:val="20"/>
          <w:szCs w:val="20"/>
          <w:lang w:val="en-US"/>
        </w:rPr>
      </w:pPr>
      <w:r>
        <w:rPr>
          <w:rFonts w:ascii="Times New Roman Bold"/>
          <w:sz w:val="20"/>
          <w:szCs w:val="20"/>
          <w:lang w:val="en-US"/>
        </w:rPr>
        <w:t>Table 2 - Number of Internet Banking Us</w:t>
      </w:r>
      <w:r>
        <w:rPr>
          <w:rFonts w:ascii="Times New Roman Bold"/>
          <w:sz w:val="20"/>
          <w:szCs w:val="20"/>
          <w:lang w:val="en-US"/>
        </w:rPr>
        <w:t>ers in Russia (% of the population) [9]</w:t>
      </w:r>
    </w:p>
    <w:tbl>
      <w:tblPr>
        <w:tblStyle w:val="TableNormal"/>
        <w:tblW w:w="974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1451"/>
        <w:gridCol w:w="926"/>
        <w:gridCol w:w="851"/>
        <w:gridCol w:w="850"/>
        <w:gridCol w:w="851"/>
        <w:gridCol w:w="850"/>
        <w:gridCol w:w="850"/>
        <w:gridCol w:w="850"/>
        <w:gridCol w:w="851"/>
        <w:gridCol w:w="709"/>
        <w:gridCol w:w="708"/>
      </w:tblGrid>
      <w:tr w:rsidR="00B912A7">
        <w:tblPrEx>
          <w:tblCellMar>
            <w:top w:w="0" w:type="dxa"/>
            <w:left w:w="0" w:type="dxa"/>
            <w:bottom w:w="0" w:type="dxa"/>
            <w:right w:w="0" w:type="dxa"/>
          </w:tblCellMar>
        </w:tblPrEx>
        <w:trPr>
          <w:trHeight w:val="222"/>
          <w:jc w:val="center"/>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Default="00B21651">
            <w:pPr>
              <w:spacing w:line="360" w:lineRule="auto"/>
              <w:ind w:firstLine="142"/>
            </w:pPr>
            <w:r>
              <w:rPr>
                <w:rFonts w:ascii="Times New Roman"/>
                <w:sz w:val="20"/>
                <w:szCs w:val="20"/>
                <w:lang w:val="en-US"/>
              </w:rPr>
              <w:t>Year</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2008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ind w:firstLine="34"/>
              <w:jc w:val="center"/>
            </w:pPr>
            <w:r>
              <w:rPr>
                <w:rFonts w:ascii="Times New Roman"/>
                <w:sz w:val="20"/>
                <w:szCs w:val="20"/>
              </w:rPr>
              <w:t>2010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ind w:firstLine="34"/>
              <w:jc w:val="center"/>
            </w:pPr>
            <w:r>
              <w:rPr>
                <w:rFonts w:ascii="Times New Roman"/>
                <w:sz w:val="20"/>
                <w:szCs w:val="20"/>
              </w:rPr>
              <w:t>2011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2012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ind w:firstLine="34"/>
              <w:jc w:val="center"/>
            </w:pPr>
            <w:r>
              <w:rPr>
                <w:rFonts w:ascii="Times New Roman"/>
                <w:sz w:val="20"/>
                <w:szCs w:val="20"/>
              </w:rPr>
              <w:t>2013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ind w:firstLine="33"/>
              <w:jc w:val="center"/>
            </w:pPr>
            <w:r>
              <w:rPr>
                <w:rFonts w:ascii="Times New Roman"/>
                <w:sz w:val="20"/>
                <w:szCs w:val="20"/>
              </w:rPr>
              <w:t>2014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2015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2016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ind w:firstLine="34"/>
              <w:jc w:val="center"/>
            </w:pPr>
            <w:r>
              <w:rPr>
                <w:rFonts w:ascii="Times New Roman"/>
                <w:sz w:val="20"/>
                <w:szCs w:val="20"/>
              </w:rPr>
              <w:t>2017</w:t>
            </w:r>
          </w:p>
        </w:tc>
      </w:tr>
      <w:tr w:rsidR="00B912A7">
        <w:tblPrEx>
          <w:tblCellMar>
            <w:top w:w="0" w:type="dxa"/>
            <w:left w:w="0" w:type="dxa"/>
            <w:bottom w:w="0" w:type="dxa"/>
            <w:right w:w="0" w:type="dxa"/>
          </w:tblCellMar>
        </w:tblPrEx>
        <w:trPr>
          <w:trHeight w:val="547"/>
          <w:jc w:val="center"/>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12A7" w:rsidRDefault="00B21651">
            <w:pPr>
              <w:spacing w:after="0" w:line="360" w:lineRule="auto"/>
              <w:jc w:val="both"/>
            </w:pPr>
            <w:r>
              <w:rPr>
                <w:rFonts w:ascii="Times New Roman"/>
                <w:sz w:val="20"/>
                <w:szCs w:val="20"/>
              </w:rPr>
              <w:t>Number of Users (%)</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67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64,5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12A7" w:rsidRDefault="00B21651">
            <w:pPr>
              <w:spacing w:after="0" w:line="360" w:lineRule="auto"/>
              <w:jc w:val="center"/>
            </w:pPr>
            <w:r>
              <w:rPr>
                <w:rFonts w:ascii="Times New Roman"/>
                <w:sz w:val="20"/>
                <w:szCs w:val="20"/>
              </w:rPr>
              <w:t>70</w:t>
            </w:r>
          </w:p>
        </w:tc>
      </w:tr>
    </w:tbl>
    <w:p w:rsidR="00B912A7" w:rsidRDefault="00B912A7">
      <w:pPr>
        <w:spacing w:after="0" w:line="240" w:lineRule="auto"/>
        <w:ind w:firstLine="709"/>
        <w:jc w:val="center"/>
        <w:rPr>
          <w:rFonts w:ascii="Times New Roman Bold" w:eastAsia="Times New Roman Bold" w:hAnsi="Times New Roman Bold" w:cs="Times New Roman Bold"/>
          <w:sz w:val="20"/>
          <w:szCs w:val="20"/>
          <w:lang w:val="en-US"/>
        </w:rPr>
      </w:pPr>
    </w:p>
    <w:p w:rsidR="00B912A7" w:rsidRDefault="00B912A7">
      <w:pPr>
        <w:spacing w:after="0" w:line="360" w:lineRule="auto"/>
        <w:rPr>
          <w:rFonts w:ascii="Times New Roman Bold" w:eastAsia="Times New Roman Bold" w:hAnsi="Times New Roman Bold" w:cs="Times New Roman Bold"/>
          <w:sz w:val="28"/>
          <w:szCs w:val="28"/>
          <w:lang w:val="en-US"/>
        </w:rPr>
      </w:pP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In this case, we use a multidimensional polynomial regression, the essence of which is the approximation </w:t>
      </w:r>
      <w:r>
        <w:rPr>
          <w:rFonts w:ascii="Times New Roman Bold"/>
          <w:sz w:val="28"/>
          <w:szCs w:val="28"/>
          <w:lang w:val="en-US"/>
        </w:rPr>
        <w:t>of data by a polynomial of degree n. To construct a polynomial regression of n-degree, at least (n + 1) points of the original data are needed. The higher the degree of the polynomial, the more accurately the polynomial regression describes the initial dat</w:t>
      </w:r>
      <w:r>
        <w:rPr>
          <w:rFonts w:ascii="Times New Roman Bold"/>
          <w:sz w:val="28"/>
          <w:szCs w:val="28"/>
          <w:lang w:val="en-US"/>
        </w:rPr>
        <w:t>a, but a higher degree of the polynomial can cause a more significant error, so in practice, polynomials of degree n &lt;= 5 are used.</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The polynomial trend line is used in practice to describe alternately decreasing and increasing values. It is useful to use </w:t>
      </w:r>
      <w:r>
        <w:rPr>
          <w:rFonts w:ascii="Times New Roman Bold"/>
          <w:sz w:val="28"/>
          <w:szCs w:val="28"/>
          <w:lang w:val="en-US"/>
        </w:rPr>
        <w:t>for analysis of unstable magnitude.</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We construct the polynomial regression equation of the fifth degree based on the data of Table 2 (Figure 3).</w:t>
      </w:r>
    </w:p>
    <w:p w:rsidR="00B912A7" w:rsidRDefault="00B21651">
      <w:pPr>
        <w:spacing w:after="0" w:line="360" w:lineRule="auto"/>
        <w:ind w:firstLine="709"/>
        <w:jc w:val="both"/>
        <w:rPr>
          <w:rFonts w:ascii="Times New Roman Bold" w:eastAsia="Times New Roman Bold" w:hAnsi="Times New Roman Bold" w:cs="Times New Roman Bold"/>
          <w:sz w:val="28"/>
          <w:szCs w:val="28"/>
          <w:lang w:val="en-US"/>
        </w:rPr>
      </w:pPr>
      <w:r>
        <w:rPr>
          <w:noProof/>
          <w:lang w:eastAsia="ru-RU"/>
        </w:rPr>
        <w:drawing>
          <wp:inline distT="0" distB="0" distL="0" distR="0">
            <wp:extent cx="5244285" cy="3098607"/>
            <wp:effectExtent l="0" t="0" r="0" b="0"/>
            <wp:docPr id="107374183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12A7" w:rsidRDefault="00B21651">
      <w:pPr>
        <w:spacing w:after="0" w:line="360" w:lineRule="auto"/>
        <w:jc w:val="center"/>
        <w:rPr>
          <w:rFonts w:ascii="Times New Roman Bold" w:eastAsia="Times New Roman Bold" w:hAnsi="Times New Roman Bold" w:cs="Times New Roman Bold"/>
          <w:sz w:val="20"/>
          <w:szCs w:val="20"/>
          <w:lang w:val="en-US"/>
        </w:rPr>
      </w:pPr>
      <w:r>
        <w:rPr>
          <w:rFonts w:ascii="Times New Roman Bold"/>
          <w:sz w:val="20"/>
          <w:szCs w:val="20"/>
          <w:lang w:val="en-US"/>
        </w:rPr>
        <w:t xml:space="preserve">Figure 3 - The number of Internet banking users in Russia (in% of the </w:t>
      </w:r>
      <w:r>
        <w:rPr>
          <w:rFonts w:ascii="Times New Roman Bold"/>
          <w:sz w:val="20"/>
          <w:szCs w:val="20"/>
          <w:lang w:val="en-US"/>
        </w:rPr>
        <w:t>population)</w:t>
      </w:r>
    </w:p>
    <w:p w:rsidR="00B912A7" w:rsidRDefault="00B912A7">
      <w:pPr>
        <w:spacing w:after="0" w:line="360" w:lineRule="auto"/>
        <w:rPr>
          <w:rFonts w:ascii="Times New Roman Bold" w:eastAsia="Times New Roman Bold" w:hAnsi="Times New Roman Bold" w:cs="Times New Roman Bold"/>
          <w:sz w:val="28"/>
          <w:szCs w:val="28"/>
          <w:lang w:val="en-US"/>
        </w:rPr>
      </w:pP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lastRenderedPageBreak/>
        <w:t>The trend line, which allows to determine when Russia will reach the level of developed countries in penetration of Internet banking looks like:</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y = 0.0456x5 - 1.233x4 + 11.785x3 - 47.072x2 + 79.001x - 31.933</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In this case, the calculated param</w:t>
      </w:r>
      <w:r>
        <w:rPr>
          <w:rFonts w:ascii="Times New Roman Bold"/>
          <w:sz w:val="28"/>
          <w:szCs w:val="28"/>
          <w:lang w:val="en-US"/>
        </w:rPr>
        <w:t>eters of the model explain the dependence between the studied parameters by 98.54%, which characterizes the coefficient of determination R-square, equal to 0.9854.</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So, based on the results of the derived regression equation, Russia will reach the level of </w:t>
      </w:r>
      <w:r>
        <w:rPr>
          <w:rFonts w:ascii="Times New Roman Bold"/>
          <w:sz w:val="28"/>
          <w:szCs w:val="28"/>
          <w:lang w:val="en-US"/>
        </w:rPr>
        <w:t>penetration of Internet banking services to approximately equal developed countries by 2019, in which the desired parameter will take the value equal to 91.71%.</w:t>
      </w:r>
    </w:p>
    <w:p w:rsidR="00B912A7" w:rsidRPr="00443A62" w:rsidRDefault="00B21651">
      <w:pPr>
        <w:spacing w:after="0" w:line="360" w:lineRule="auto"/>
        <w:jc w:val="both"/>
        <w:rPr>
          <w:rFonts w:ascii="Times New Roman Bold" w:eastAsia="Times New Roman Bold" w:hAnsi="Times New Roman Bold" w:cs="Times New Roman Bold"/>
          <w:b/>
          <w:sz w:val="28"/>
          <w:szCs w:val="28"/>
          <w:lang w:val="en-US"/>
        </w:rPr>
      </w:pPr>
      <w:r w:rsidRPr="00443A62">
        <w:rPr>
          <w:rFonts w:ascii="Times New Roman Bold"/>
          <w:b/>
          <w:sz w:val="28"/>
          <w:szCs w:val="28"/>
          <w:lang w:val="en-US"/>
        </w:rPr>
        <w:t>Results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In general, during this study, the dynamics of the increase in the number of Internet b</w:t>
      </w:r>
      <w:r>
        <w:rPr>
          <w:rFonts w:ascii="Times New Roman Bold"/>
          <w:sz w:val="28"/>
          <w:szCs w:val="28"/>
          <w:lang w:val="en-US"/>
        </w:rPr>
        <w:t>anking users has been revealed. Analysts note that in the future this segment of the market will continue to increase. From 2015 to the beginning of 2017 the number of users of Internet banking services in Russia increased from 23.3 million to 35.3 million</w:t>
      </w:r>
      <w:r>
        <w:rPr>
          <w:rFonts w:ascii="Times New Roman Bold"/>
          <w:sz w:val="28"/>
          <w:szCs w:val="28"/>
          <w:lang w:val="en-US"/>
        </w:rPr>
        <w:t xml:space="preserve"> users [8]. At the same time, there is a great growth potential in this market, since only 70% of Internet users in Russia now use this service. It should also be noted that, according to analysts, now the market for Internet banking, there is a trend of t</w:t>
      </w:r>
      <w:r>
        <w:rPr>
          <w:rFonts w:ascii="Times New Roman Bold"/>
          <w:sz w:val="28"/>
          <w:szCs w:val="28"/>
          <w:lang w:val="en-US"/>
        </w:rPr>
        <w:t>he flow of customers from the usual Internet banking in mobile applications. This phenomenon significantly increases the volume of ongoing transactions and simultaneously reduces the cost of customer service, including by reducing the load on call-centers,</w:t>
      </w:r>
      <w:r>
        <w:rPr>
          <w:rFonts w:ascii="Times New Roman Bold"/>
          <w:sz w:val="28"/>
          <w:szCs w:val="28"/>
          <w:lang w:val="en-US"/>
        </w:rPr>
        <w:t xml:space="preserve"> since many applications have a built-in messaging system with banks.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In general, all the revealed tendencies of development of the financial online environment in Russia can be considered favorable for the further introduction of open banking.</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Open bankin</w:t>
      </w:r>
      <w:r>
        <w:rPr>
          <w:rFonts w:ascii="Times New Roman Bold"/>
          <w:sz w:val="28"/>
          <w:szCs w:val="28"/>
          <w:lang w:val="en-US"/>
        </w:rPr>
        <w:t xml:space="preserve">g can also be used as a tool for controlling and regulating the activities of banks for organizations such as the FATF, KVATF, ATG and other world groups to develop measures to combat money laundering. More open activities of banks will allow more closely </w:t>
      </w:r>
      <w:r>
        <w:rPr>
          <w:rFonts w:ascii="Times New Roman Bold"/>
          <w:sz w:val="28"/>
          <w:szCs w:val="28"/>
          <w:lang w:val="en-US"/>
        </w:rPr>
        <w:t>monitor the cash flows of both the bank itself and its customers.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In this case, the open banking API also has the following risks:</w:t>
      </w:r>
    </w:p>
    <w:p w:rsidR="00B912A7" w:rsidRDefault="00B21651">
      <w:pPr>
        <w:pStyle w:val="a4"/>
        <w:numPr>
          <w:ilvl w:val="0"/>
          <w:numId w:val="3"/>
        </w:numPr>
        <w:tabs>
          <w:tab w:val="clear" w:pos="707"/>
          <w:tab w:val="num" w:pos="1265"/>
        </w:tabs>
        <w:spacing w:after="0" w:line="360" w:lineRule="auto"/>
        <w:ind w:left="556" w:firstLine="153"/>
        <w:jc w:val="both"/>
        <w:rPr>
          <w:rFonts w:ascii="Times New Roman Bold" w:eastAsia="Times New Roman Bold" w:hAnsi="Times New Roman Bold" w:cs="Times New Roman Bold"/>
          <w:lang w:val="en-US"/>
        </w:rPr>
      </w:pPr>
      <w:r w:rsidRPr="00443A62">
        <w:rPr>
          <w:rFonts w:ascii="Times New Roman Bold"/>
          <w:sz w:val="28"/>
          <w:szCs w:val="28"/>
          <w:lang w:val="en-US"/>
        </w:rPr>
        <w:lastRenderedPageBreak/>
        <w:t>increased competition between banks, as only the strongest banks will be able to unite to create a platform. Creating a platf</w:t>
      </w:r>
      <w:r w:rsidRPr="00443A62">
        <w:rPr>
          <w:rFonts w:ascii="Times New Roman Bold"/>
          <w:sz w:val="28"/>
          <w:szCs w:val="28"/>
          <w:lang w:val="en-US"/>
        </w:rPr>
        <w:t>orm requires huge investments and banks will struggle to attract more customers.</w:t>
      </w:r>
    </w:p>
    <w:p w:rsidR="00B912A7" w:rsidRDefault="00B21651">
      <w:pPr>
        <w:pStyle w:val="a4"/>
        <w:numPr>
          <w:ilvl w:val="0"/>
          <w:numId w:val="4"/>
        </w:numPr>
        <w:tabs>
          <w:tab w:val="clear" w:pos="707"/>
          <w:tab w:val="num" w:pos="1265"/>
        </w:tabs>
        <w:spacing w:after="0" w:line="360" w:lineRule="auto"/>
        <w:ind w:left="556" w:firstLine="153"/>
        <w:jc w:val="both"/>
        <w:rPr>
          <w:rFonts w:ascii="Times New Roman Bold" w:eastAsia="Times New Roman Bold" w:hAnsi="Times New Roman Bold" w:cs="Times New Roman Bold"/>
          <w:lang w:val="en-US"/>
        </w:rPr>
      </w:pPr>
      <w:r w:rsidRPr="00443A62">
        <w:rPr>
          <w:rFonts w:ascii="Times New Roman Bold"/>
          <w:sz w:val="28"/>
          <w:szCs w:val="28"/>
          <w:lang w:val="en-US"/>
        </w:rPr>
        <w:t>security risk; banks will have to open their information to other banks-competitors.</w:t>
      </w:r>
    </w:p>
    <w:p w:rsidR="00B912A7" w:rsidRDefault="00B21651">
      <w:pPr>
        <w:pStyle w:val="a4"/>
        <w:numPr>
          <w:ilvl w:val="0"/>
          <w:numId w:val="5"/>
        </w:numPr>
        <w:tabs>
          <w:tab w:val="clear" w:pos="707"/>
          <w:tab w:val="num" w:pos="1265"/>
        </w:tabs>
        <w:spacing w:after="0" w:line="360" w:lineRule="auto"/>
        <w:ind w:left="556" w:firstLine="153"/>
        <w:jc w:val="both"/>
        <w:rPr>
          <w:rFonts w:ascii="Times New Roman Bold" w:eastAsia="Times New Roman Bold" w:hAnsi="Times New Roman Bold" w:cs="Times New Roman Bold"/>
          <w:lang w:val="en-US"/>
        </w:rPr>
      </w:pPr>
      <w:r w:rsidRPr="00443A62">
        <w:rPr>
          <w:rFonts w:ascii="Times New Roman Bold"/>
          <w:sz w:val="28"/>
          <w:szCs w:val="28"/>
          <w:lang w:val="en-US"/>
        </w:rPr>
        <w:t>The risk of isolation. In case</w:t>
      </w:r>
      <w:r w:rsidRPr="00443A62">
        <w:rPr>
          <w:rFonts w:ascii="Times New Roman Bold"/>
          <w:sz w:val="28"/>
          <w:szCs w:val="28"/>
          <w:lang w:val="en-US"/>
        </w:rPr>
        <w:t xml:space="preserve"> that open banking is widely spread in the banking sector, credit institutions that do not use open banking will be isolated, which will mean a risk of losing customers, and, consequently, a decrease in the bank's activity.</w:t>
      </w:r>
    </w:p>
    <w:p w:rsidR="00B912A7" w:rsidRDefault="00B21651">
      <w:pPr>
        <w:pStyle w:val="a4"/>
        <w:numPr>
          <w:ilvl w:val="0"/>
          <w:numId w:val="6"/>
        </w:numPr>
        <w:tabs>
          <w:tab w:val="clear" w:pos="707"/>
          <w:tab w:val="num" w:pos="1265"/>
        </w:tabs>
        <w:spacing w:after="0" w:line="360" w:lineRule="auto"/>
        <w:ind w:left="556" w:firstLine="153"/>
        <w:jc w:val="both"/>
        <w:rPr>
          <w:rFonts w:ascii="Times New Roman Bold" w:eastAsia="Times New Roman Bold" w:hAnsi="Times New Roman Bold" w:cs="Times New Roman Bold"/>
          <w:lang w:val="en-US"/>
        </w:rPr>
      </w:pPr>
      <w:r w:rsidRPr="00443A62">
        <w:rPr>
          <w:rFonts w:ascii="Times New Roman Bold"/>
          <w:sz w:val="28"/>
          <w:szCs w:val="28"/>
          <w:lang w:val="en-US"/>
        </w:rPr>
        <w:t>The risk to customers is that th</w:t>
      </w:r>
      <w:r w:rsidRPr="00443A62">
        <w:rPr>
          <w:rFonts w:ascii="Times New Roman Bold"/>
          <w:sz w:val="28"/>
          <w:szCs w:val="28"/>
          <w:lang w:val="en-US"/>
        </w:rPr>
        <w:t>ey focus all their accounts in one place and with a sudden cyber attack all information can be used by third parties for personal gain;</w:t>
      </w:r>
    </w:p>
    <w:p w:rsidR="00B912A7" w:rsidRDefault="00B21651">
      <w:pPr>
        <w:pStyle w:val="a4"/>
        <w:numPr>
          <w:ilvl w:val="0"/>
          <w:numId w:val="7"/>
        </w:numPr>
        <w:tabs>
          <w:tab w:val="clear" w:pos="707"/>
          <w:tab w:val="num" w:pos="1265"/>
        </w:tabs>
        <w:spacing w:after="0" w:line="360" w:lineRule="auto"/>
        <w:ind w:left="556" w:firstLine="153"/>
        <w:jc w:val="both"/>
        <w:rPr>
          <w:rFonts w:ascii="Times New Roman Bold" w:eastAsia="Times New Roman Bold" w:hAnsi="Times New Roman Bold" w:cs="Times New Roman Bold"/>
          <w:lang w:val="en-US"/>
        </w:rPr>
      </w:pPr>
      <w:r w:rsidRPr="00443A62">
        <w:rPr>
          <w:rFonts w:ascii="Times New Roman Bold"/>
          <w:sz w:val="28"/>
          <w:szCs w:val="28"/>
          <w:lang w:val="en-US"/>
        </w:rPr>
        <w:t>There is also a risk that a company that will write a platform for open banking will concentrate all power over the bank</w:t>
      </w:r>
      <w:r w:rsidRPr="00443A62">
        <w:rPr>
          <w:rFonts w:ascii="Times New Roman Bold"/>
          <w:sz w:val="28"/>
          <w:szCs w:val="28"/>
          <w:lang w:val="en-US"/>
        </w:rPr>
        <w:t>ing sector in its hands.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Thus, the main concerns with Open Banking are related to conflicts of interest, uneven distribution of influence and exacerbation of financial isolation. Convenience, speed and simplicity can be dispensed with at the cost of losing</w:t>
      </w:r>
      <w:r>
        <w:rPr>
          <w:rFonts w:ascii="Times New Roman Bold"/>
          <w:sz w:val="28"/>
          <w:szCs w:val="28"/>
          <w:lang w:val="en-US"/>
        </w:rPr>
        <w:t xml:space="preserve"> a significant amount of control over the data.</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analysis allows to formulate the following recommendations:</w:t>
      </w:r>
    </w:p>
    <w:p w:rsidR="00B912A7" w:rsidRDefault="00B21651">
      <w:pPr>
        <w:spacing w:after="0" w:line="360" w:lineRule="auto"/>
        <w:ind w:firstLine="709"/>
        <w:jc w:val="both"/>
        <w:rPr>
          <w:rFonts w:ascii="Times New Roman Bold" w:eastAsia="Times New Roman Bold" w:hAnsi="Times New Roman Bold" w:cs="Times New Roman Bold"/>
          <w:sz w:val="28"/>
          <w:szCs w:val="28"/>
          <w:lang w:val="en-US"/>
        </w:rPr>
      </w:pPr>
      <w:r>
        <w:rPr>
          <w:rFonts w:ascii="Times New Roman Bold"/>
          <w:sz w:val="28"/>
          <w:szCs w:val="28"/>
          <w:lang w:val="en-US"/>
        </w:rPr>
        <w:t>- it is necessary to carry out more thorough work on the creation of open banking to prevent the hacking of users' personal offices.</w:t>
      </w:r>
    </w:p>
    <w:p w:rsidR="00B912A7" w:rsidRDefault="00B21651">
      <w:pPr>
        <w:spacing w:after="0" w:line="360" w:lineRule="auto"/>
        <w:ind w:firstLine="709"/>
        <w:jc w:val="both"/>
        <w:rPr>
          <w:rFonts w:ascii="Times New Roman Bold" w:eastAsia="Times New Roman Bold" w:hAnsi="Times New Roman Bold" w:cs="Times New Roman Bold"/>
          <w:sz w:val="28"/>
          <w:szCs w:val="28"/>
          <w:lang w:val="en-US"/>
        </w:rPr>
      </w:pPr>
      <w:r>
        <w:rPr>
          <w:rFonts w:ascii="Times New Roman Bold"/>
          <w:sz w:val="28"/>
          <w:szCs w:val="28"/>
          <w:lang w:val="en-US"/>
        </w:rPr>
        <w:t>- the proce</w:t>
      </w:r>
      <w:r>
        <w:rPr>
          <w:rFonts w:ascii="Times New Roman Bold"/>
          <w:sz w:val="28"/>
          <w:szCs w:val="28"/>
          <w:lang w:val="en-US"/>
        </w:rPr>
        <w:t>ss of creating a platform for open banking should be entrusted to an enterprise created by leading specialists from various companies of IT technologies and the banking environment (the best option is a state-owned company). This step will minimize the inf</w:t>
      </w:r>
      <w:r>
        <w:rPr>
          <w:rFonts w:ascii="Times New Roman Bold"/>
          <w:sz w:val="28"/>
          <w:szCs w:val="28"/>
          <w:lang w:val="en-US"/>
        </w:rPr>
        <w:t>luence of leading companies in the field of software development and limit personal interest.</w:t>
      </w:r>
    </w:p>
    <w:p w:rsidR="00443A62" w:rsidRDefault="00B21651">
      <w:pPr>
        <w:spacing w:after="0" w:line="360" w:lineRule="auto"/>
        <w:ind w:firstLine="709"/>
        <w:jc w:val="both"/>
        <w:rPr>
          <w:rFonts w:ascii="Times New Roman Bold"/>
          <w:sz w:val="28"/>
          <w:szCs w:val="28"/>
          <w:lang w:val="en-US"/>
        </w:rPr>
      </w:pPr>
      <w:r>
        <w:rPr>
          <w:rFonts w:ascii="Times New Roman Bold"/>
          <w:sz w:val="28"/>
          <w:szCs w:val="28"/>
          <w:lang w:val="en-US"/>
        </w:rPr>
        <w:t>- Development of legislation regulating the activities of banks in the field of open banking and legislation to limit the power for the company that will write th</w:t>
      </w:r>
      <w:r>
        <w:rPr>
          <w:rFonts w:ascii="Times New Roman Bold"/>
          <w:sz w:val="28"/>
          <w:szCs w:val="28"/>
          <w:lang w:val="en-US"/>
        </w:rPr>
        <w:t>is platform.</w:t>
      </w:r>
    </w:p>
    <w:p w:rsidR="00443A62" w:rsidRDefault="00443A62">
      <w:pPr>
        <w:spacing w:after="0" w:line="240" w:lineRule="auto"/>
        <w:rPr>
          <w:rFonts w:ascii="Times New Roman Bold"/>
          <w:sz w:val="28"/>
          <w:szCs w:val="28"/>
          <w:lang w:val="en-US"/>
        </w:rPr>
      </w:pPr>
      <w:r>
        <w:rPr>
          <w:rFonts w:ascii="Times New Roman Bold"/>
          <w:sz w:val="28"/>
          <w:szCs w:val="28"/>
          <w:lang w:val="en-US"/>
        </w:rPr>
        <w:br w:type="page"/>
      </w:r>
    </w:p>
    <w:p w:rsidR="00B912A7" w:rsidRPr="00443A62" w:rsidRDefault="00B21651">
      <w:pPr>
        <w:spacing w:after="0" w:line="360" w:lineRule="auto"/>
        <w:jc w:val="both"/>
        <w:rPr>
          <w:rFonts w:ascii="Times New Roman Bold" w:eastAsia="Times New Roman Bold" w:hAnsi="Times New Roman Bold" w:cs="Times New Roman Bold"/>
          <w:b/>
          <w:sz w:val="28"/>
          <w:szCs w:val="28"/>
          <w:lang w:val="en-US"/>
        </w:rPr>
      </w:pPr>
      <w:r w:rsidRPr="00443A62">
        <w:rPr>
          <w:rFonts w:ascii="Times New Roman Bold"/>
          <w:b/>
          <w:sz w:val="28"/>
          <w:szCs w:val="28"/>
          <w:lang w:val="en-US"/>
        </w:rPr>
        <w:lastRenderedPageBreak/>
        <w:t>Conclusion</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Summing up, we can say that open banking represents a new direction in the field of financial technologies. The development of open banking will create a financial platform through which clients of various banks will be able to mana</w:t>
      </w:r>
      <w:r>
        <w:rPr>
          <w:rFonts w:ascii="Times New Roman Bold"/>
          <w:sz w:val="28"/>
          <w:szCs w:val="28"/>
          <w:lang w:val="en-US"/>
        </w:rPr>
        <w:t>ge their accounts. This will reduce the time of operations, reduce transactions, enter a new level of competition among banks. The reverse side of the use of open banking is the lack of legislative regulation, control over the absence of excess of powers o</w:t>
      </w:r>
      <w:r>
        <w:rPr>
          <w:rFonts w:ascii="Times New Roman Bold"/>
          <w:sz w:val="28"/>
          <w:szCs w:val="28"/>
          <w:lang w:val="en-US"/>
        </w:rPr>
        <w:t>f the company engaged in the development and implementation of open banking, as well as the security of customer data.</w:t>
      </w:r>
    </w:p>
    <w:p w:rsidR="00B912A7" w:rsidRDefault="00B912A7">
      <w:pPr>
        <w:spacing w:after="0" w:line="360" w:lineRule="auto"/>
        <w:jc w:val="both"/>
        <w:rPr>
          <w:rFonts w:ascii="Times New Roman Bold" w:eastAsia="Times New Roman Bold" w:hAnsi="Times New Roman Bold" w:cs="Times New Roman Bold"/>
          <w:sz w:val="28"/>
          <w:szCs w:val="28"/>
          <w:lang w:val="en-US"/>
        </w:rPr>
      </w:pPr>
    </w:p>
    <w:p w:rsidR="00B912A7" w:rsidRPr="00443A62" w:rsidRDefault="00B21651">
      <w:pPr>
        <w:spacing w:after="0" w:line="360" w:lineRule="auto"/>
        <w:jc w:val="both"/>
        <w:rPr>
          <w:rFonts w:ascii="Times New Roman Bold" w:eastAsia="Times New Roman Bold" w:hAnsi="Times New Roman Bold" w:cs="Times New Roman Bold"/>
          <w:b/>
          <w:sz w:val="28"/>
          <w:szCs w:val="28"/>
          <w:lang w:val="en-US"/>
        </w:rPr>
      </w:pPr>
      <w:r w:rsidRPr="00443A62">
        <w:rPr>
          <w:rFonts w:ascii="Times New Roman Bold"/>
          <w:b/>
          <w:sz w:val="28"/>
          <w:szCs w:val="28"/>
          <w:lang w:val="en-US"/>
        </w:rPr>
        <w:t>References</w:t>
      </w:r>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[1] E-Finance User Index 2016: the number of users of Internet banking in Russia for the year has not changed [Electronic res</w:t>
      </w:r>
      <w:r>
        <w:rPr>
          <w:rFonts w:ascii="Times New Roman Bold"/>
          <w:sz w:val="28"/>
          <w:szCs w:val="28"/>
          <w:lang w:val="en-US"/>
        </w:rPr>
        <w:t xml:space="preserve">ource]. URL: </w:t>
      </w:r>
      <w:hyperlink r:id="rId11" w:history="1">
        <w:r>
          <w:rPr>
            <w:rStyle w:val="Hyperlink0"/>
            <w:rFonts w:ascii="Times New Roman Bold"/>
          </w:rPr>
          <w:t>http://web-payment.ru/article/135/e-finance-user-index-2016/</w:t>
        </w:r>
      </w:hyperlink>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[2] Open Banking Defenition [Electronic resource]. URL: </w:t>
      </w:r>
      <w:hyperlink r:id="rId12" w:history="1">
        <w:r>
          <w:rPr>
            <w:rStyle w:val="Hyperlink0"/>
            <w:rFonts w:ascii="Times New Roman Bold"/>
          </w:rPr>
          <w:t>http://www.investopedia.com/terms/o/open-banking.asp</w:t>
        </w:r>
      </w:hyperlink>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[3] Open banking catch the wave [Electronic resource]. URL: </w:t>
      </w:r>
      <w:hyperlink r:id="rId13" w:history="1">
        <w:r>
          <w:rPr>
            <w:rStyle w:val="Hyperlink0"/>
            <w:rFonts w:ascii="Times New Roman Bold"/>
          </w:rPr>
          <w:t>https://www.roomian.org/articles/otkrytyi-banking-poimal-volnu-2017</w:t>
        </w:r>
      </w:hyperlink>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[4] Open Banking: Opportunities and Risks [Electronic resource]. URL: </w:t>
      </w:r>
      <w:hyperlink r:id="rId14" w:history="1">
        <w:r>
          <w:rPr>
            <w:rStyle w:val="Hyperlink0"/>
            <w:rFonts w:ascii="Times New Roman Bold"/>
          </w:rPr>
          <w:t>http://bankir</w:t>
        </w:r>
        <w:r>
          <w:rPr>
            <w:rStyle w:val="Hyperlink0"/>
            <w:rFonts w:ascii="Times New Roman Bold"/>
          </w:rPr>
          <w:t>.ru/publikacii/20170227/open-banking-vozmozhnosti-i-riski-10008625/</w:t>
        </w:r>
      </w:hyperlink>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[5] Sberbank, Alfa-Bank, QIWI and other companies launch an association for the development of finteha in Russia [Electronic resource]. URL: </w:t>
      </w:r>
      <w:hyperlink r:id="rId15" w:history="1">
        <w:r>
          <w:rPr>
            <w:rStyle w:val="Hyperlink0"/>
            <w:rFonts w:ascii="Times New Roman Bold"/>
          </w:rPr>
          <w:t>https://rb.ru/news/fintech-russia/</w:t>
        </w:r>
      </w:hyperlink>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[6] Number of Internet audience [Electronic resource]. URL: </w:t>
      </w:r>
      <w:hyperlink r:id="rId16" w:history="1">
        <w:r>
          <w:rPr>
            <w:rStyle w:val="Hyperlink0"/>
            <w:rFonts w:ascii="Times New Roman Bold"/>
          </w:rPr>
          <w:t>http://www.bizhit.ru/index/users_count/0-151</w:t>
        </w:r>
      </w:hyperlink>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[7] e-Finance User Index 2016 [Electronic resource]. URL: </w:t>
      </w:r>
      <w:hyperlink r:id="rId17" w:history="1">
        <w:r>
          <w:rPr>
            <w:rStyle w:val="Hyperlink0"/>
            <w:rFonts w:ascii="Times New Roman Bold"/>
          </w:rPr>
          <w:t>http://markswebb.ru/e-finance/e-finance-user-index-2016</w:t>
        </w:r>
      </w:hyperlink>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[8] In Russia, interest in digital banking is growing [Electronic reso</w:t>
      </w:r>
      <w:r>
        <w:rPr>
          <w:rFonts w:ascii="Times New Roman Bold"/>
          <w:sz w:val="28"/>
          <w:szCs w:val="28"/>
          <w:lang w:val="en-US"/>
        </w:rPr>
        <w:t xml:space="preserve">urce]. URL: </w:t>
      </w:r>
      <w:hyperlink r:id="rId18" w:history="1">
        <w:r>
          <w:rPr>
            <w:rStyle w:val="Hyperlink0"/>
            <w:rFonts w:ascii="Times New Roman Bold"/>
          </w:rPr>
          <w:t>http://www.comnews.ru/content/105337/2016-12-28/v-rossii-rastet-interes-k-cifrovomu-bankingu</w:t>
        </w:r>
      </w:hyperlink>
    </w:p>
    <w:p w:rsidR="00B912A7" w:rsidRDefault="00B21651">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lastRenderedPageBreak/>
        <w:t>[9] Russia in figures. Internet banking [E</w:t>
      </w:r>
      <w:r>
        <w:rPr>
          <w:rFonts w:ascii="Times New Roman Bold"/>
          <w:sz w:val="28"/>
          <w:szCs w:val="28"/>
          <w:lang w:val="en-US"/>
        </w:rPr>
        <w:t>lectronic resource]. URL:</w:t>
      </w:r>
    </w:p>
    <w:p w:rsidR="00B912A7" w:rsidRPr="00443A62" w:rsidRDefault="00B21651">
      <w:pPr>
        <w:spacing w:after="0" w:line="360" w:lineRule="auto"/>
        <w:jc w:val="both"/>
        <w:rPr>
          <w:lang w:val="en-US"/>
        </w:rPr>
      </w:pPr>
      <w:hyperlink r:id="rId19" w:history="1">
        <w:r>
          <w:rPr>
            <w:rStyle w:val="Hyperlink0"/>
            <w:rFonts w:ascii="Times New Roman Bold"/>
          </w:rPr>
          <w:t>http://www.vestifinance.ru/videos/9600</w:t>
        </w:r>
      </w:hyperlink>
    </w:p>
    <w:sectPr w:rsidR="00B912A7" w:rsidRPr="00443A62">
      <w:headerReference w:type="default" r:id="rId20"/>
      <w:footerReference w:type="default" r:id="rId21"/>
      <w:pgSz w:w="11900" w:h="16840"/>
      <w:pgMar w:top="1134"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651" w:rsidRDefault="00B21651">
      <w:pPr>
        <w:spacing w:after="0" w:line="240" w:lineRule="auto"/>
      </w:pPr>
      <w:r>
        <w:separator/>
      </w:r>
    </w:p>
  </w:endnote>
  <w:endnote w:type="continuationSeparator" w:id="0">
    <w:p w:rsidR="00B21651" w:rsidRDefault="00B2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Times New Roman 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A7" w:rsidRDefault="00B912A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651" w:rsidRDefault="00B21651">
      <w:pPr>
        <w:spacing w:after="0" w:line="240" w:lineRule="auto"/>
      </w:pPr>
      <w:r>
        <w:separator/>
      </w:r>
    </w:p>
  </w:footnote>
  <w:footnote w:type="continuationSeparator" w:id="0">
    <w:p w:rsidR="00B21651" w:rsidRDefault="00B21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A7" w:rsidRDefault="00B912A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B6434"/>
    <w:multiLevelType w:val="multilevel"/>
    <w:tmpl w:val="CCAA149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43F2523F"/>
    <w:multiLevelType w:val="multilevel"/>
    <w:tmpl w:val="ECD08C96"/>
    <w:lvl w:ilvl="0">
      <w:numFmt w:val="bullet"/>
      <w:lvlText w:val="⎯"/>
      <w:lvlJc w:val="left"/>
      <w:pPr>
        <w:tabs>
          <w:tab w:val="num" w:pos="707"/>
        </w:tabs>
        <w:ind w:left="707" w:hanging="707"/>
      </w:pPr>
      <w:rPr>
        <w:position w:val="0"/>
        <w:sz w:val="22"/>
        <w:szCs w:val="22"/>
        <w:lang w:val="en-US"/>
      </w:rPr>
    </w:lvl>
    <w:lvl w:ilvl="1">
      <w:start w:val="1"/>
      <w:numFmt w:val="bullet"/>
      <w:lvlText w:val="o"/>
      <w:lvlJc w:val="left"/>
      <w:pPr>
        <w:tabs>
          <w:tab w:val="num" w:pos="2209"/>
        </w:tabs>
        <w:ind w:left="2209" w:hanging="420"/>
      </w:pPr>
      <w:rPr>
        <w:position w:val="0"/>
        <w:sz w:val="28"/>
        <w:szCs w:val="28"/>
        <w:lang w:val="en-US"/>
      </w:rPr>
    </w:lvl>
    <w:lvl w:ilvl="2">
      <w:start w:val="1"/>
      <w:numFmt w:val="bullet"/>
      <w:lvlText w:val="▪"/>
      <w:lvlJc w:val="left"/>
      <w:pPr>
        <w:tabs>
          <w:tab w:val="num" w:pos="2929"/>
        </w:tabs>
        <w:ind w:left="2929" w:hanging="420"/>
      </w:pPr>
      <w:rPr>
        <w:position w:val="0"/>
        <w:sz w:val="28"/>
        <w:szCs w:val="28"/>
        <w:lang w:val="en-US"/>
      </w:rPr>
    </w:lvl>
    <w:lvl w:ilvl="3">
      <w:start w:val="1"/>
      <w:numFmt w:val="bullet"/>
      <w:lvlText w:val="•"/>
      <w:lvlJc w:val="left"/>
      <w:pPr>
        <w:tabs>
          <w:tab w:val="num" w:pos="3649"/>
        </w:tabs>
        <w:ind w:left="3649" w:hanging="420"/>
      </w:pPr>
      <w:rPr>
        <w:position w:val="0"/>
        <w:sz w:val="28"/>
        <w:szCs w:val="28"/>
        <w:lang w:val="en-US"/>
      </w:rPr>
    </w:lvl>
    <w:lvl w:ilvl="4">
      <w:start w:val="1"/>
      <w:numFmt w:val="bullet"/>
      <w:lvlText w:val="o"/>
      <w:lvlJc w:val="left"/>
      <w:pPr>
        <w:tabs>
          <w:tab w:val="num" w:pos="4369"/>
        </w:tabs>
        <w:ind w:left="4369" w:hanging="420"/>
      </w:pPr>
      <w:rPr>
        <w:position w:val="0"/>
        <w:sz w:val="28"/>
        <w:szCs w:val="28"/>
        <w:lang w:val="en-US"/>
      </w:rPr>
    </w:lvl>
    <w:lvl w:ilvl="5">
      <w:start w:val="1"/>
      <w:numFmt w:val="bullet"/>
      <w:lvlText w:val="▪"/>
      <w:lvlJc w:val="left"/>
      <w:pPr>
        <w:tabs>
          <w:tab w:val="num" w:pos="5089"/>
        </w:tabs>
        <w:ind w:left="5089" w:hanging="420"/>
      </w:pPr>
      <w:rPr>
        <w:position w:val="0"/>
        <w:sz w:val="28"/>
        <w:szCs w:val="28"/>
        <w:lang w:val="en-US"/>
      </w:rPr>
    </w:lvl>
    <w:lvl w:ilvl="6">
      <w:start w:val="1"/>
      <w:numFmt w:val="bullet"/>
      <w:lvlText w:val="•"/>
      <w:lvlJc w:val="left"/>
      <w:pPr>
        <w:tabs>
          <w:tab w:val="num" w:pos="5809"/>
        </w:tabs>
        <w:ind w:left="5809" w:hanging="420"/>
      </w:pPr>
      <w:rPr>
        <w:position w:val="0"/>
        <w:sz w:val="28"/>
        <w:szCs w:val="28"/>
        <w:lang w:val="en-US"/>
      </w:rPr>
    </w:lvl>
    <w:lvl w:ilvl="7">
      <w:start w:val="1"/>
      <w:numFmt w:val="bullet"/>
      <w:lvlText w:val="o"/>
      <w:lvlJc w:val="left"/>
      <w:pPr>
        <w:tabs>
          <w:tab w:val="num" w:pos="6529"/>
        </w:tabs>
        <w:ind w:left="6529" w:hanging="420"/>
      </w:pPr>
      <w:rPr>
        <w:position w:val="0"/>
        <w:sz w:val="28"/>
        <w:szCs w:val="28"/>
        <w:lang w:val="en-US"/>
      </w:rPr>
    </w:lvl>
    <w:lvl w:ilvl="8">
      <w:start w:val="1"/>
      <w:numFmt w:val="bullet"/>
      <w:lvlText w:val="▪"/>
      <w:lvlJc w:val="left"/>
      <w:pPr>
        <w:tabs>
          <w:tab w:val="num" w:pos="7249"/>
        </w:tabs>
        <w:ind w:left="7249" w:hanging="420"/>
      </w:pPr>
      <w:rPr>
        <w:position w:val="0"/>
        <w:sz w:val="28"/>
        <w:szCs w:val="28"/>
        <w:lang w:val="en-US"/>
      </w:rPr>
    </w:lvl>
  </w:abstractNum>
  <w:abstractNum w:abstractNumId="2">
    <w:nsid w:val="4F357B8D"/>
    <w:multiLevelType w:val="multilevel"/>
    <w:tmpl w:val="6CF8DBBA"/>
    <w:lvl w:ilvl="0">
      <w:start w:val="1"/>
      <w:numFmt w:val="bullet"/>
      <w:lvlText w:val="⎯"/>
      <w:lvlJc w:val="left"/>
      <w:pPr>
        <w:tabs>
          <w:tab w:val="num" w:pos="707"/>
        </w:tabs>
        <w:ind w:left="707" w:hanging="707"/>
      </w:pPr>
      <w:rPr>
        <w:position w:val="0"/>
        <w:sz w:val="28"/>
        <w:szCs w:val="28"/>
        <w:lang w:val="en-US"/>
      </w:rPr>
    </w:lvl>
    <w:lvl w:ilvl="1">
      <w:start w:val="1"/>
      <w:numFmt w:val="bullet"/>
      <w:lvlText w:val="o"/>
      <w:lvlJc w:val="left"/>
      <w:pPr>
        <w:tabs>
          <w:tab w:val="num" w:pos="2209"/>
        </w:tabs>
        <w:ind w:left="2209" w:hanging="420"/>
      </w:pPr>
      <w:rPr>
        <w:position w:val="0"/>
        <w:sz w:val="28"/>
        <w:szCs w:val="28"/>
        <w:lang w:val="en-US"/>
      </w:rPr>
    </w:lvl>
    <w:lvl w:ilvl="2">
      <w:start w:val="1"/>
      <w:numFmt w:val="bullet"/>
      <w:lvlText w:val="▪"/>
      <w:lvlJc w:val="left"/>
      <w:pPr>
        <w:tabs>
          <w:tab w:val="num" w:pos="2929"/>
        </w:tabs>
        <w:ind w:left="2929" w:hanging="420"/>
      </w:pPr>
      <w:rPr>
        <w:position w:val="0"/>
        <w:sz w:val="28"/>
        <w:szCs w:val="28"/>
        <w:lang w:val="en-US"/>
      </w:rPr>
    </w:lvl>
    <w:lvl w:ilvl="3">
      <w:start w:val="1"/>
      <w:numFmt w:val="bullet"/>
      <w:lvlText w:val="•"/>
      <w:lvlJc w:val="left"/>
      <w:pPr>
        <w:tabs>
          <w:tab w:val="num" w:pos="3649"/>
        </w:tabs>
        <w:ind w:left="3649" w:hanging="420"/>
      </w:pPr>
      <w:rPr>
        <w:position w:val="0"/>
        <w:sz w:val="28"/>
        <w:szCs w:val="28"/>
        <w:lang w:val="en-US"/>
      </w:rPr>
    </w:lvl>
    <w:lvl w:ilvl="4">
      <w:start w:val="1"/>
      <w:numFmt w:val="bullet"/>
      <w:lvlText w:val="o"/>
      <w:lvlJc w:val="left"/>
      <w:pPr>
        <w:tabs>
          <w:tab w:val="num" w:pos="4369"/>
        </w:tabs>
        <w:ind w:left="4369" w:hanging="420"/>
      </w:pPr>
      <w:rPr>
        <w:position w:val="0"/>
        <w:sz w:val="28"/>
        <w:szCs w:val="28"/>
        <w:lang w:val="en-US"/>
      </w:rPr>
    </w:lvl>
    <w:lvl w:ilvl="5">
      <w:start w:val="1"/>
      <w:numFmt w:val="bullet"/>
      <w:lvlText w:val="▪"/>
      <w:lvlJc w:val="left"/>
      <w:pPr>
        <w:tabs>
          <w:tab w:val="num" w:pos="5089"/>
        </w:tabs>
        <w:ind w:left="5089" w:hanging="420"/>
      </w:pPr>
      <w:rPr>
        <w:position w:val="0"/>
        <w:sz w:val="28"/>
        <w:szCs w:val="28"/>
        <w:lang w:val="en-US"/>
      </w:rPr>
    </w:lvl>
    <w:lvl w:ilvl="6">
      <w:start w:val="1"/>
      <w:numFmt w:val="bullet"/>
      <w:lvlText w:val="•"/>
      <w:lvlJc w:val="left"/>
      <w:pPr>
        <w:tabs>
          <w:tab w:val="num" w:pos="5809"/>
        </w:tabs>
        <w:ind w:left="5809" w:hanging="420"/>
      </w:pPr>
      <w:rPr>
        <w:position w:val="0"/>
        <w:sz w:val="28"/>
        <w:szCs w:val="28"/>
        <w:lang w:val="en-US"/>
      </w:rPr>
    </w:lvl>
    <w:lvl w:ilvl="7">
      <w:start w:val="1"/>
      <w:numFmt w:val="bullet"/>
      <w:lvlText w:val="o"/>
      <w:lvlJc w:val="left"/>
      <w:pPr>
        <w:tabs>
          <w:tab w:val="num" w:pos="6529"/>
        </w:tabs>
        <w:ind w:left="6529" w:hanging="420"/>
      </w:pPr>
      <w:rPr>
        <w:position w:val="0"/>
        <w:sz w:val="28"/>
        <w:szCs w:val="28"/>
        <w:lang w:val="en-US"/>
      </w:rPr>
    </w:lvl>
    <w:lvl w:ilvl="8">
      <w:start w:val="1"/>
      <w:numFmt w:val="bullet"/>
      <w:lvlText w:val="▪"/>
      <w:lvlJc w:val="left"/>
      <w:pPr>
        <w:tabs>
          <w:tab w:val="num" w:pos="7249"/>
        </w:tabs>
        <w:ind w:left="7249" w:hanging="420"/>
      </w:pPr>
      <w:rPr>
        <w:position w:val="0"/>
        <w:sz w:val="28"/>
        <w:szCs w:val="28"/>
        <w:lang w:val="en-US"/>
      </w:rPr>
    </w:lvl>
  </w:abstractNum>
  <w:abstractNum w:abstractNumId="3">
    <w:nsid w:val="56024A12"/>
    <w:multiLevelType w:val="multilevel"/>
    <w:tmpl w:val="CD68B11A"/>
    <w:lvl w:ilvl="0">
      <w:numFmt w:val="bullet"/>
      <w:lvlText w:val="⎯"/>
      <w:lvlJc w:val="left"/>
      <w:pPr>
        <w:tabs>
          <w:tab w:val="num" w:pos="707"/>
        </w:tabs>
        <w:ind w:left="707" w:hanging="707"/>
      </w:pPr>
      <w:rPr>
        <w:position w:val="0"/>
        <w:sz w:val="22"/>
        <w:szCs w:val="22"/>
        <w:lang w:val="en-US"/>
      </w:rPr>
    </w:lvl>
    <w:lvl w:ilvl="1">
      <w:start w:val="1"/>
      <w:numFmt w:val="bullet"/>
      <w:lvlText w:val="o"/>
      <w:lvlJc w:val="left"/>
      <w:pPr>
        <w:tabs>
          <w:tab w:val="num" w:pos="2209"/>
        </w:tabs>
        <w:ind w:left="2209" w:hanging="420"/>
      </w:pPr>
      <w:rPr>
        <w:position w:val="0"/>
        <w:sz w:val="28"/>
        <w:szCs w:val="28"/>
        <w:lang w:val="en-US"/>
      </w:rPr>
    </w:lvl>
    <w:lvl w:ilvl="2">
      <w:start w:val="1"/>
      <w:numFmt w:val="bullet"/>
      <w:lvlText w:val="▪"/>
      <w:lvlJc w:val="left"/>
      <w:pPr>
        <w:tabs>
          <w:tab w:val="num" w:pos="2929"/>
        </w:tabs>
        <w:ind w:left="2929" w:hanging="420"/>
      </w:pPr>
      <w:rPr>
        <w:position w:val="0"/>
        <w:sz w:val="28"/>
        <w:szCs w:val="28"/>
        <w:lang w:val="en-US"/>
      </w:rPr>
    </w:lvl>
    <w:lvl w:ilvl="3">
      <w:start w:val="1"/>
      <w:numFmt w:val="bullet"/>
      <w:lvlText w:val="•"/>
      <w:lvlJc w:val="left"/>
      <w:pPr>
        <w:tabs>
          <w:tab w:val="num" w:pos="3649"/>
        </w:tabs>
        <w:ind w:left="3649" w:hanging="420"/>
      </w:pPr>
      <w:rPr>
        <w:position w:val="0"/>
        <w:sz w:val="28"/>
        <w:szCs w:val="28"/>
        <w:lang w:val="en-US"/>
      </w:rPr>
    </w:lvl>
    <w:lvl w:ilvl="4">
      <w:start w:val="1"/>
      <w:numFmt w:val="bullet"/>
      <w:lvlText w:val="o"/>
      <w:lvlJc w:val="left"/>
      <w:pPr>
        <w:tabs>
          <w:tab w:val="num" w:pos="4369"/>
        </w:tabs>
        <w:ind w:left="4369" w:hanging="420"/>
      </w:pPr>
      <w:rPr>
        <w:position w:val="0"/>
        <w:sz w:val="28"/>
        <w:szCs w:val="28"/>
        <w:lang w:val="en-US"/>
      </w:rPr>
    </w:lvl>
    <w:lvl w:ilvl="5">
      <w:start w:val="1"/>
      <w:numFmt w:val="bullet"/>
      <w:lvlText w:val="▪"/>
      <w:lvlJc w:val="left"/>
      <w:pPr>
        <w:tabs>
          <w:tab w:val="num" w:pos="5089"/>
        </w:tabs>
        <w:ind w:left="5089" w:hanging="420"/>
      </w:pPr>
      <w:rPr>
        <w:position w:val="0"/>
        <w:sz w:val="28"/>
        <w:szCs w:val="28"/>
        <w:lang w:val="en-US"/>
      </w:rPr>
    </w:lvl>
    <w:lvl w:ilvl="6">
      <w:start w:val="1"/>
      <w:numFmt w:val="bullet"/>
      <w:lvlText w:val="•"/>
      <w:lvlJc w:val="left"/>
      <w:pPr>
        <w:tabs>
          <w:tab w:val="num" w:pos="5809"/>
        </w:tabs>
        <w:ind w:left="5809" w:hanging="420"/>
      </w:pPr>
      <w:rPr>
        <w:position w:val="0"/>
        <w:sz w:val="28"/>
        <w:szCs w:val="28"/>
        <w:lang w:val="en-US"/>
      </w:rPr>
    </w:lvl>
    <w:lvl w:ilvl="7">
      <w:start w:val="1"/>
      <w:numFmt w:val="bullet"/>
      <w:lvlText w:val="o"/>
      <w:lvlJc w:val="left"/>
      <w:pPr>
        <w:tabs>
          <w:tab w:val="num" w:pos="6529"/>
        </w:tabs>
        <w:ind w:left="6529" w:hanging="420"/>
      </w:pPr>
      <w:rPr>
        <w:position w:val="0"/>
        <w:sz w:val="28"/>
        <w:szCs w:val="28"/>
        <w:lang w:val="en-US"/>
      </w:rPr>
    </w:lvl>
    <w:lvl w:ilvl="8">
      <w:start w:val="1"/>
      <w:numFmt w:val="bullet"/>
      <w:lvlText w:val="▪"/>
      <w:lvlJc w:val="left"/>
      <w:pPr>
        <w:tabs>
          <w:tab w:val="num" w:pos="7249"/>
        </w:tabs>
        <w:ind w:left="7249" w:hanging="420"/>
      </w:pPr>
      <w:rPr>
        <w:position w:val="0"/>
        <w:sz w:val="28"/>
        <w:szCs w:val="28"/>
        <w:lang w:val="en-US"/>
      </w:rPr>
    </w:lvl>
  </w:abstractNum>
  <w:abstractNum w:abstractNumId="4">
    <w:nsid w:val="63A91527"/>
    <w:multiLevelType w:val="multilevel"/>
    <w:tmpl w:val="3EDCDC7E"/>
    <w:lvl w:ilvl="0">
      <w:numFmt w:val="bullet"/>
      <w:lvlText w:val="⎯"/>
      <w:lvlJc w:val="left"/>
      <w:pPr>
        <w:tabs>
          <w:tab w:val="num" w:pos="707"/>
        </w:tabs>
        <w:ind w:left="707" w:hanging="707"/>
      </w:pPr>
      <w:rPr>
        <w:position w:val="0"/>
        <w:sz w:val="22"/>
        <w:szCs w:val="22"/>
        <w:lang w:val="en-US"/>
      </w:rPr>
    </w:lvl>
    <w:lvl w:ilvl="1">
      <w:start w:val="1"/>
      <w:numFmt w:val="bullet"/>
      <w:lvlText w:val="o"/>
      <w:lvlJc w:val="left"/>
      <w:pPr>
        <w:tabs>
          <w:tab w:val="num" w:pos="2209"/>
        </w:tabs>
        <w:ind w:left="2209" w:hanging="420"/>
      </w:pPr>
      <w:rPr>
        <w:position w:val="0"/>
        <w:sz w:val="28"/>
        <w:szCs w:val="28"/>
        <w:lang w:val="en-US"/>
      </w:rPr>
    </w:lvl>
    <w:lvl w:ilvl="2">
      <w:start w:val="1"/>
      <w:numFmt w:val="bullet"/>
      <w:lvlText w:val="▪"/>
      <w:lvlJc w:val="left"/>
      <w:pPr>
        <w:tabs>
          <w:tab w:val="num" w:pos="2929"/>
        </w:tabs>
        <w:ind w:left="2929" w:hanging="420"/>
      </w:pPr>
      <w:rPr>
        <w:position w:val="0"/>
        <w:sz w:val="28"/>
        <w:szCs w:val="28"/>
        <w:lang w:val="en-US"/>
      </w:rPr>
    </w:lvl>
    <w:lvl w:ilvl="3">
      <w:start w:val="1"/>
      <w:numFmt w:val="bullet"/>
      <w:lvlText w:val="•"/>
      <w:lvlJc w:val="left"/>
      <w:pPr>
        <w:tabs>
          <w:tab w:val="num" w:pos="3649"/>
        </w:tabs>
        <w:ind w:left="3649" w:hanging="420"/>
      </w:pPr>
      <w:rPr>
        <w:position w:val="0"/>
        <w:sz w:val="28"/>
        <w:szCs w:val="28"/>
        <w:lang w:val="en-US"/>
      </w:rPr>
    </w:lvl>
    <w:lvl w:ilvl="4">
      <w:start w:val="1"/>
      <w:numFmt w:val="bullet"/>
      <w:lvlText w:val="o"/>
      <w:lvlJc w:val="left"/>
      <w:pPr>
        <w:tabs>
          <w:tab w:val="num" w:pos="4369"/>
        </w:tabs>
        <w:ind w:left="4369" w:hanging="420"/>
      </w:pPr>
      <w:rPr>
        <w:position w:val="0"/>
        <w:sz w:val="28"/>
        <w:szCs w:val="28"/>
        <w:lang w:val="en-US"/>
      </w:rPr>
    </w:lvl>
    <w:lvl w:ilvl="5">
      <w:start w:val="1"/>
      <w:numFmt w:val="bullet"/>
      <w:lvlText w:val="▪"/>
      <w:lvlJc w:val="left"/>
      <w:pPr>
        <w:tabs>
          <w:tab w:val="num" w:pos="5089"/>
        </w:tabs>
        <w:ind w:left="5089" w:hanging="420"/>
      </w:pPr>
      <w:rPr>
        <w:position w:val="0"/>
        <w:sz w:val="28"/>
        <w:szCs w:val="28"/>
        <w:lang w:val="en-US"/>
      </w:rPr>
    </w:lvl>
    <w:lvl w:ilvl="6">
      <w:start w:val="1"/>
      <w:numFmt w:val="bullet"/>
      <w:lvlText w:val="•"/>
      <w:lvlJc w:val="left"/>
      <w:pPr>
        <w:tabs>
          <w:tab w:val="num" w:pos="5809"/>
        </w:tabs>
        <w:ind w:left="5809" w:hanging="420"/>
      </w:pPr>
      <w:rPr>
        <w:position w:val="0"/>
        <w:sz w:val="28"/>
        <w:szCs w:val="28"/>
        <w:lang w:val="en-US"/>
      </w:rPr>
    </w:lvl>
    <w:lvl w:ilvl="7">
      <w:start w:val="1"/>
      <w:numFmt w:val="bullet"/>
      <w:lvlText w:val="o"/>
      <w:lvlJc w:val="left"/>
      <w:pPr>
        <w:tabs>
          <w:tab w:val="num" w:pos="6529"/>
        </w:tabs>
        <w:ind w:left="6529" w:hanging="420"/>
      </w:pPr>
      <w:rPr>
        <w:position w:val="0"/>
        <w:sz w:val="28"/>
        <w:szCs w:val="28"/>
        <w:lang w:val="en-US"/>
      </w:rPr>
    </w:lvl>
    <w:lvl w:ilvl="8">
      <w:start w:val="1"/>
      <w:numFmt w:val="bullet"/>
      <w:lvlText w:val="▪"/>
      <w:lvlJc w:val="left"/>
      <w:pPr>
        <w:tabs>
          <w:tab w:val="num" w:pos="7249"/>
        </w:tabs>
        <w:ind w:left="7249" w:hanging="420"/>
      </w:pPr>
      <w:rPr>
        <w:position w:val="0"/>
        <w:sz w:val="28"/>
        <w:szCs w:val="28"/>
        <w:lang w:val="en-US"/>
      </w:rPr>
    </w:lvl>
  </w:abstractNum>
  <w:abstractNum w:abstractNumId="5">
    <w:nsid w:val="63D05E5B"/>
    <w:multiLevelType w:val="multilevel"/>
    <w:tmpl w:val="29946F9A"/>
    <w:lvl w:ilvl="0">
      <w:numFmt w:val="bullet"/>
      <w:lvlText w:val="⎯"/>
      <w:lvlJc w:val="left"/>
      <w:pPr>
        <w:tabs>
          <w:tab w:val="num" w:pos="707"/>
        </w:tabs>
        <w:ind w:left="707" w:hanging="707"/>
      </w:pPr>
      <w:rPr>
        <w:position w:val="0"/>
        <w:sz w:val="22"/>
        <w:szCs w:val="22"/>
        <w:lang w:val="en-US"/>
      </w:rPr>
    </w:lvl>
    <w:lvl w:ilvl="1">
      <w:start w:val="1"/>
      <w:numFmt w:val="bullet"/>
      <w:lvlText w:val="o"/>
      <w:lvlJc w:val="left"/>
      <w:pPr>
        <w:tabs>
          <w:tab w:val="num" w:pos="2209"/>
        </w:tabs>
        <w:ind w:left="2209" w:hanging="420"/>
      </w:pPr>
      <w:rPr>
        <w:position w:val="0"/>
        <w:sz w:val="28"/>
        <w:szCs w:val="28"/>
        <w:lang w:val="en-US"/>
      </w:rPr>
    </w:lvl>
    <w:lvl w:ilvl="2">
      <w:start w:val="1"/>
      <w:numFmt w:val="bullet"/>
      <w:lvlText w:val="▪"/>
      <w:lvlJc w:val="left"/>
      <w:pPr>
        <w:tabs>
          <w:tab w:val="num" w:pos="2929"/>
        </w:tabs>
        <w:ind w:left="2929" w:hanging="420"/>
      </w:pPr>
      <w:rPr>
        <w:position w:val="0"/>
        <w:sz w:val="28"/>
        <w:szCs w:val="28"/>
        <w:lang w:val="en-US"/>
      </w:rPr>
    </w:lvl>
    <w:lvl w:ilvl="3">
      <w:start w:val="1"/>
      <w:numFmt w:val="bullet"/>
      <w:lvlText w:val="•"/>
      <w:lvlJc w:val="left"/>
      <w:pPr>
        <w:tabs>
          <w:tab w:val="num" w:pos="3649"/>
        </w:tabs>
        <w:ind w:left="3649" w:hanging="420"/>
      </w:pPr>
      <w:rPr>
        <w:position w:val="0"/>
        <w:sz w:val="28"/>
        <w:szCs w:val="28"/>
        <w:lang w:val="en-US"/>
      </w:rPr>
    </w:lvl>
    <w:lvl w:ilvl="4">
      <w:start w:val="1"/>
      <w:numFmt w:val="bullet"/>
      <w:lvlText w:val="o"/>
      <w:lvlJc w:val="left"/>
      <w:pPr>
        <w:tabs>
          <w:tab w:val="num" w:pos="4369"/>
        </w:tabs>
        <w:ind w:left="4369" w:hanging="420"/>
      </w:pPr>
      <w:rPr>
        <w:position w:val="0"/>
        <w:sz w:val="28"/>
        <w:szCs w:val="28"/>
        <w:lang w:val="en-US"/>
      </w:rPr>
    </w:lvl>
    <w:lvl w:ilvl="5">
      <w:start w:val="1"/>
      <w:numFmt w:val="bullet"/>
      <w:lvlText w:val="▪"/>
      <w:lvlJc w:val="left"/>
      <w:pPr>
        <w:tabs>
          <w:tab w:val="num" w:pos="5089"/>
        </w:tabs>
        <w:ind w:left="5089" w:hanging="420"/>
      </w:pPr>
      <w:rPr>
        <w:position w:val="0"/>
        <w:sz w:val="28"/>
        <w:szCs w:val="28"/>
        <w:lang w:val="en-US"/>
      </w:rPr>
    </w:lvl>
    <w:lvl w:ilvl="6">
      <w:start w:val="1"/>
      <w:numFmt w:val="bullet"/>
      <w:lvlText w:val="•"/>
      <w:lvlJc w:val="left"/>
      <w:pPr>
        <w:tabs>
          <w:tab w:val="num" w:pos="5809"/>
        </w:tabs>
        <w:ind w:left="5809" w:hanging="420"/>
      </w:pPr>
      <w:rPr>
        <w:position w:val="0"/>
        <w:sz w:val="28"/>
        <w:szCs w:val="28"/>
        <w:lang w:val="en-US"/>
      </w:rPr>
    </w:lvl>
    <w:lvl w:ilvl="7">
      <w:start w:val="1"/>
      <w:numFmt w:val="bullet"/>
      <w:lvlText w:val="o"/>
      <w:lvlJc w:val="left"/>
      <w:pPr>
        <w:tabs>
          <w:tab w:val="num" w:pos="6529"/>
        </w:tabs>
        <w:ind w:left="6529" w:hanging="420"/>
      </w:pPr>
      <w:rPr>
        <w:position w:val="0"/>
        <w:sz w:val="28"/>
        <w:szCs w:val="28"/>
        <w:lang w:val="en-US"/>
      </w:rPr>
    </w:lvl>
    <w:lvl w:ilvl="8">
      <w:start w:val="1"/>
      <w:numFmt w:val="bullet"/>
      <w:lvlText w:val="▪"/>
      <w:lvlJc w:val="left"/>
      <w:pPr>
        <w:tabs>
          <w:tab w:val="num" w:pos="7249"/>
        </w:tabs>
        <w:ind w:left="7249" w:hanging="420"/>
      </w:pPr>
      <w:rPr>
        <w:position w:val="0"/>
        <w:sz w:val="28"/>
        <w:szCs w:val="28"/>
        <w:lang w:val="en-US"/>
      </w:rPr>
    </w:lvl>
  </w:abstractNum>
  <w:abstractNum w:abstractNumId="6">
    <w:nsid w:val="70931478"/>
    <w:multiLevelType w:val="multilevel"/>
    <w:tmpl w:val="D352994C"/>
    <w:styleLink w:val="List0"/>
    <w:lvl w:ilvl="0">
      <w:numFmt w:val="bullet"/>
      <w:lvlText w:val="⎯"/>
      <w:lvlJc w:val="left"/>
      <w:pPr>
        <w:tabs>
          <w:tab w:val="num" w:pos="707"/>
        </w:tabs>
        <w:ind w:left="707" w:hanging="707"/>
      </w:pPr>
      <w:rPr>
        <w:position w:val="0"/>
        <w:sz w:val="22"/>
        <w:szCs w:val="22"/>
        <w:lang w:val="en-US"/>
      </w:rPr>
    </w:lvl>
    <w:lvl w:ilvl="1">
      <w:start w:val="1"/>
      <w:numFmt w:val="bullet"/>
      <w:lvlText w:val="o"/>
      <w:lvlJc w:val="left"/>
      <w:pPr>
        <w:tabs>
          <w:tab w:val="num" w:pos="2209"/>
        </w:tabs>
        <w:ind w:left="2209" w:hanging="420"/>
      </w:pPr>
      <w:rPr>
        <w:position w:val="0"/>
        <w:sz w:val="28"/>
        <w:szCs w:val="28"/>
        <w:lang w:val="en-US"/>
      </w:rPr>
    </w:lvl>
    <w:lvl w:ilvl="2">
      <w:start w:val="1"/>
      <w:numFmt w:val="bullet"/>
      <w:lvlText w:val="▪"/>
      <w:lvlJc w:val="left"/>
      <w:pPr>
        <w:tabs>
          <w:tab w:val="num" w:pos="2929"/>
        </w:tabs>
        <w:ind w:left="2929" w:hanging="420"/>
      </w:pPr>
      <w:rPr>
        <w:position w:val="0"/>
        <w:sz w:val="28"/>
        <w:szCs w:val="28"/>
        <w:lang w:val="en-US"/>
      </w:rPr>
    </w:lvl>
    <w:lvl w:ilvl="3">
      <w:start w:val="1"/>
      <w:numFmt w:val="bullet"/>
      <w:lvlText w:val="•"/>
      <w:lvlJc w:val="left"/>
      <w:pPr>
        <w:tabs>
          <w:tab w:val="num" w:pos="3649"/>
        </w:tabs>
        <w:ind w:left="3649" w:hanging="420"/>
      </w:pPr>
      <w:rPr>
        <w:position w:val="0"/>
        <w:sz w:val="28"/>
        <w:szCs w:val="28"/>
        <w:lang w:val="en-US"/>
      </w:rPr>
    </w:lvl>
    <w:lvl w:ilvl="4">
      <w:start w:val="1"/>
      <w:numFmt w:val="bullet"/>
      <w:lvlText w:val="o"/>
      <w:lvlJc w:val="left"/>
      <w:pPr>
        <w:tabs>
          <w:tab w:val="num" w:pos="4369"/>
        </w:tabs>
        <w:ind w:left="4369" w:hanging="420"/>
      </w:pPr>
      <w:rPr>
        <w:position w:val="0"/>
        <w:sz w:val="28"/>
        <w:szCs w:val="28"/>
        <w:lang w:val="en-US"/>
      </w:rPr>
    </w:lvl>
    <w:lvl w:ilvl="5">
      <w:start w:val="1"/>
      <w:numFmt w:val="bullet"/>
      <w:lvlText w:val="▪"/>
      <w:lvlJc w:val="left"/>
      <w:pPr>
        <w:tabs>
          <w:tab w:val="num" w:pos="5089"/>
        </w:tabs>
        <w:ind w:left="5089" w:hanging="420"/>
      </w:pPr>
      <w:rPr>
        <w:position w:val="0"/>
        <w:sz w:val="28"/>
        <w:szCs w:val="28"/>
        <w:lang w:val="en-US"/>
      </w:rPr>
    </w:lvl>
    <w:lvl w:ilvl="6">
      <w:start w:val="1"/>
      <w:numFmt w:val="bullet"/>
      <w:lvlText w:val="•"/>
      <w:lvlJc w:val="left"/>
      <w:pPr>
        <w:tabs>
          <w:tab w:val="num" w:pos="5809"/>
        </w:tabs>
        <w:ind w:left="5809" w:hanging="420"/>
      </w:pPr>
      <w:rPr>
        <w:position w:val="0"/>
        <w:sz w:val="28"/>
        <w:szCs w:val="28"/>
        <w:lang w:val="en-US"/>
      </w:rPr>
    </w:lvl>
    <w:lvl w:ilvl="7">
      <w:start w:val="1"/>
      <w:numFmt w:val="bullet"/>
      <w:lvlText w:val="o"/>
      <w:lvlJc w:val="left"/>
      <w:pPr>
        <w:tabs>
          <w:tab w:val="num" w:pos="6529"/>
        </w:tabs>
        <w:ind w:left="6529" w:hanging="420"/>
      </w:pPr>
      <w:rPr>
        <w:position w:val="0"/>
        <w:sz w:val="28"/>
        <w:szCs w:val="28"/>
        <w:lang w:val="en-US"/>
      </w:rPr>
    </w:lvl>
    <w:lvl w:ilvl="8">
      <w:start w:val="1"/>
      <w:numFmt w:val="bullet"/>
      <w:lvlText w:val="▪"/>
      <w:lvlJc w:val="left"/>
      <w:pPr>
        <w:tabs>
          <w:tab w:val="num" w:pos="7249"/>
        </w:tabs>
        <w:ind w:left="7249" w:hanging="420"/>
      </w:pPr>
      <w:rPr>
        <w:position w:val="0"/>
        <w:sz w:val="28"/>
        <w:szCs w:val="28"/>
        <w:lang w:val="en-US"/>
      </w:r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2A7"/>
    <w:rsid w:val="00443A62"/>
    <w:rsid w:val="00B21651"/>
    <w:rsid w:val="00B91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F4A4A-C510-438A-ADF9-4F09106C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Calibri" w:hAnsi="Calibri" w:cs="Calibri"/>
      <w:color w:val="000000"/>
      <w:sz w:val="22"/>
      <w:szCs w:val="22"/>
      <w:u w:color="000000"/>
      <w:lang w:eastAsia="en-US"/>
    </w:rPr>
  </w:style>
  <w:style w:type="paragraph" w:styleId="1">
    <w:name w:val="heading 1"/>
    <w:next w:val="a"/>
    <w:pPr>
      <w:keepNext/>
      <w:keepLines/>
      <w:spacing w:before="240" w:line="276" w:lineRule="auto"/>
      <w:outlineLvl w:val="0"/>
    </w:pPr>
    <w:rPr>
      <w:rFonts w:ascii="Cambria" w:eastAsia="Cambria" w:hAnsi="Cambria" w:cs="Cambria"/>
      <w:color w:val="365F91"/>
      <w:sz w:val="32"/>
      <w:szCs w:val="32"/>
      <w:u w:color="365F9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lang w:val="en-US"/>
    </w:rPr>
  </w:style>
  <w:style w:type="paragraph" w:styleId="a4">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7"/>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color w:val="0000FF"/>
      <w:sz w:val="28"/>
      <w:szCs w:val="28"/>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roomian.org/articles/otkrytyi-banking-poimal-volnu-2017" TargetMode="External"/><Relationship Id="rId18" Type="http://schemas.openxmlformats.org/officeDocument/2006/relationships/hyperlink" Target="http://www.comnews.ru/content/105337/2016-12-28/v-rossii-rastet-interes-k-cifrovomu-banking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www.investopedia.com/terms/o/open-banking.asp" TargetMode="External"/><Relationship Id="rId17" Type="http://schemas.openxmlformats.org/officeDocument/2006/relationships/hyperlink" Target="http://markswebb.ru/e-finance/e-finance-user-index-2016" TargetMode="External"/><Relationship Id="rId2" Type="http://schemas.openxmlformats.org/officeDocument/2006/relationships/styles" Target="styles.xml"/><Relationship Id="rId16" Type="http://schemas.openxmlformats.org/officeDocument/2006/relationships/hyperlink" Target="http://www.bizhit.ru/index/users_count/0-15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payment.ru/article/135/e-finance-user-index-2016/" TargetMode="External"/><Relationship Id="rId5" Type="http://schemas.openxmlformats.org/officeDocument/2006/relationships/footnotes" Target="footnotes.xml"/><Relationship Id="rId15" Type="http://schemas.openxmlformats.org/officeDocument/2006/relationships/hyperlink" Target="https://rb.ru/news/fintech-russia/"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www.vestifinance.ru/videos/960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bankir.ru/publikacii/20170227/open-banking-vozmozhnosti-i-riski-1000862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0"/>
  <c:style val="2"/>
  <c:chart>
    <c:title>
      <c:tx>
        <c:rich>
          <a:bodyPr rot="0"/>
          <a:lstStyle/>
          <a:p>
            <a:pPr lvl="0"/>
            <a:endParaRPr lang="ru-RU"/>
          </a:p>
        </c:rich>
      </c:tx>
      <c:overlay val="1"/>
    </c:title>
    <c:autoTitleDeleted val="0"/>
    <c:plotArea>
      <c:layout>
        <c:manualLayout>
          <c:layoutTarget val="inner"/>
          <c:xMode val="edge"/>
          <c:yMode val="edge"/>
          <c:x val="0.20014199999999999"/>
          <c:y val="7.6090900000000003E-2"/>
          <c:w val="0.63105999999999995"/>
          <c:h val="0.78828200000000004"/>
        </c:manualLayout>
      </c:layout>
      <c:barChart>
        <c:barDir val="bar"/>
        <c:grouping val="clustered"/>
        <c:varyColors val="0"/>
        <c:ser>
          <c:idx val="0"/>
          <c:order val="0"/>
          <c:tx>
            <c:strRef>
              <c:f>Sheet1!$A$2</c:f>
              <c:strCache>
                <c:ptCount val="1"/>
                <c:pt idx="0">
                  <c:v>Year</c:v>
                </c:pt>
              </c:strCache>
            </c:strRef>
          </c:tx>
          <c:spPr>
            <a:solidFill>
              <a:srgbClr val="4F81BD"/>
            </a:solidFill>
            <a:ln w="12700" cap="flat">
              <a:noFill/>
              <a:miter lim="400000"/>
            </a:ln>
            <a:effectLst/>
          </c:spPr>
          <c:invertIfNegative val="0"/>
          <c:dLbls>
            <c:numFmt formatCode="0" sourceLinked="0"/>
            <c:spPr>
              <a:noFill/>
              <a:ln>
                <a:noFill/>
              </a:ln>
              <a:effectLst/>
            </c:spPr>
            <c:txPr>
              <a:bodyPr/>
              <a:lstStyle/>
              <a:p>
                <a:pPr lvl="0">
                  <a:defRPr sz="1000" b="0" i="0" u="none" strike="noStrike">
                    <a:solidFill>
                      <a:srgbClr val="000000"/>
                    </a:solidFill>
                    <a:effectLst/>
                    <a:latin typeface="Times New Roman"/>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Russia</c:v>
                </c:pt>
                <c:pt idx="1">
                  <c:v>Australia</c:v>
                </c:pt>
                <c:pt idx="2">
                  <c:v>Germany</c:v>
                </c:pt>
                <c:pt idx="3">
                  <c:v>United Kingdom</c:v>
                </c:pt>
                <c:pt idx="4">
                  <c:v>European Union</c:v>
                </c:pt>
              </c:strCache>
            </c:strRef>
          </c:cat>
          <c:val>
            <c:numRef>
              <c:f>Sheet1!$B$2:$F$2</c:f>
              <c:numCache>
                <c:formatCode>General</c:formatCode>
                <c:ptCount val="5"/>
                <c:pt idx="0">
                  <c:v>2028</c:v>
                </c:pt>
                <c:pt idx="1">
                  <c:v>2018</c:v>
                </c:pt>
                <c:pt idx="2">
                  <c:v>2010</c:v>
                </c:pt>
                <c:pt idx="3">
                  <c:v>2018</c:v>
                </c:pt>
                <c:pt idx="4">
                  <c:v>2015</c:v>
                </c:pt>
              </c:numCache>
            </c:numRef>
          </c:val>
        </c:ser>
        <c:dLbls>
          <c:showLegendKey val="0"/>
          <c:showVal val="0"/>
          <c:showCatName val="0"/>
          <c:showSerName val="0"/>
          <c:showPercent val="0"/>
          <c:showBubbleSize val="0"/>
        </c:dLbls>
        <c:gapWidth val="150"/>
        <c:axId val="592246280"/>
        <c:axId val="592247848"/>
      </c:barChart>
      <c:catAx>
        <c:axId val="592246280"/>
        <c:scaling>
          <c:orientation val="maxMin"/>
        </c:scaling>
        <c:delete val="0"/>
        <c:axPos val="l"/>
        <c:numFmt formatCode="General" sourceLinked="1"/>
        <c:majorTickMark val="out"/>
        <c:minorTickMark val="none"/>
        <c:tickLblPos val="nextTo"/>
        <c:spPr>
          <a:ln w="12700" cap="flat">
            <a:solidFill>
              <a:srgbClr val="000000"/>
            </a:solidFill>
            <a:prstDash val="solid"/>
            <a:miter lim="400000"/>
          </a:ln>
        </c:spPr>
        <c:txPr>
          <a:bodyPr rot="0"/>
          <a:lstStyle/>
          <a:p>
            <a:pPr lvl="0">
              <a:defRPr sz="1000" b="0" i="0" u="none" strike="noStrike">
                <a:solidFill>
                  <a:srgbClr val="000000"/>
                </a:solidFill>
                <a:effectLst/>
                <a:latin typeface="Times New Roman"/>
              </a:defRPr>
            </a:pPr>
            <a:endParaRPr lang="ru-RU"/>
          </a:p>
        </c:txPr>
        <c:crossAx val="592247848"/>
        <c:crosses val="autoZero"/>
        <c:auto val="1"/>
        <c:lblAlgn val="ctr"/>
        <c:lblOffset val="100"/>
        <c:noMultiLvlLbl val="1"/>
      </c:catAx>
      <c:valAx>
        <c:axId val="592247848"/>
        <c:scaling>
          <c:orientation val="minMax"/>
        </c:scaling>
        <c:delete val="0"/>
        <c:axPos val="t"/>
        <c:majorGridlines>
          <c:spPr>
            <a:ln w="12700" cap="flat">
              <a:solidFill>
                <a:srgbClr val="888888"/>
              </a:solidFill>
              <a:prstDash val="solid"/>
              <a:bevel/>
            </a:ln>
          </c:spPr>
        </c:majorGridlines>
        <c:numFmt formatCode="0" sourceLinked="0"/>
        <c:majorTickMark val="out"/>
        <c:minorTickMark val="none"/>
        <c:tickLblPos val="high"/>
        <c:spPr>
          <a:ln w="12700" cap="flat">
            <a:solidFill>
              <a:srgbClr val="000000"/>
            </a:solidFill>
            <a:prstDash val="solid"/>
            <a:miter lim="400000"/>
          </a:ln>
        </c:spPr>
        <c:txPr>
          <a:bodyPr rot="0"/>
          <a:lstStyle/>
          <a:p>
            <a:pPr lvl="0">
              <a:defRPr sz="1000" b="0" i="0" u="none" strike="noStrike">
                <a:solidFill>
                  <a:srgbClr val="000000"/>
                </a:solidFill>
                <a:effectLst/>
                <a:latin typeface="Times New Roman"/>
              </a:defRPr>
            </a:pPr>
            <a:endParaRPr lang="ru-RU"/>
          </a:p>
        </c:txPr>
        <c:crossAx val="592246280"/>
        <c:crosses val="autoZero"/>
        <c:crossBetween val="between"/>
        <c:majorUnit val="7.5"/>
        <c:minorUnit val="3.75"/>
      </c:valAx>
      <c:spPr>
        <a:solidFill>
          <a:srgbClr val="FFFFFF"/>
        </a:solidFill>
        <a:ln w="12700" cap="flat">
          <a:noFill/>
          <a:miter lim="400000"/>
        </a:ln>
        <a:effectLst/>
      </c:spPr>
    </c:plotArea>
    <c:legend>
      <c:legendPos val="r"/>
      <c:layout>
        <c:manualLayout>
          <c:xMode val="edge"/>
          <c:yMode val="edge"/>
          <c:x val="0.86338199999999998"/>
          <c:y val="0.40410099999999999"/>
          <c:w val="0.13661799999999999"/>
          <c:h val="8.85909E-2"/>
        </c:manualLayout>
      </c:layout>
      <c:overlay val="1"/>
      <c:spPr>
        <a:noFill/>
        <a:ln w="12700" cap="flat">
          <a:noFill/>
          <a:miter lim="400000"/>
        </a:ln>
        <a:effectLst/>
      </c:spPr>
      <c:txPr>
        <a:bodyPr/>
        <a:lstStyle/>
        <a:p>
          <a:pPr lvl="0">
            <a:defRPr sz="1000" b="0" i="0" u="none" strike="noStrike">
              <a:solidFill>
                <a:srgbClr val="000000"/>
              </a:solidFill>
              <a:effectLst/>
              <a:latin typeface="Times New Roman"/>
            </a:defRPr>
          </a:pPr>
          <a:endParaRPr lang="ru-RU"/>
        </a:p>
      </c:txPr>
    </c:legend>
    <c:plotVisOnly val="1"/>
    <c:dispBlanksAs val="gap"/>
    <c:showDLblsOverMax val="1"/>
  </c:chart>
  <c:spPr>
    <a:solidFill>
      <a:srgbClr val="FFFFFF"/>
    </a:solid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0"/>
  <c:style val="2"/>
  <c:chart>
    <c:title>
      <c:tx>
        <c:rich>
          <a:bodyPr rot="0"/>
          <a:lstStyle/>
          <a:p>
            <a:pPr lvl="0"/>
            <a:endParaRPr lang="ru-RU"/>
          </a:p>
        </c:rich>
      </c:tx>
      <c:overlay val="1"/>
    </c:title>
    <c:autoTitleDeleted val="0"/>
    <c:plotArea>
      <c:layout>
        <c:manualLayout>
          <c:layoutTarget val="inner"/>
          <c:xMode val="edge"/>
          <c:yMode val="edge"/>
          <c:x val="5.0000000000000001E-3"/>
          <c:y val="5.0000000000000001E-3"/>
          <c:w val="1"/>
          <c:h val="1"/>
        </c:manualLayout>
      </c:layout>
      <c:pieChart>
        <c:varyColors val="0"/>
        <c:ser>
          <c:idx val="0"/>
          <c:order val="0"/>
          <c:tx>
            <c:strRef>
              <c:f>Sheet1!$A$2</c:f>
              <c:strCache>
                <c:ptCount val="1"/>
              </c:strCache>
            </c:strRef>
          </c:tx>
          <c:spPr>
            <a:solidFill>
              <a:srgbClr val="4F81BD"/>
            </a:solidFill>
            <a:ln w="12700" cap="flat">
              <a:noFill/>
              <a:miter lim="400000"/>
            </a:ln>
            <a:effectLst/>
          </c:spPr>
          <c:explosion val="25"/>
          <c:dPt>
            <c:idx val="0"/>
            <c:bubble3D val="0"/>
          </c:dPt>
          <c:dLbls>
            <c:dLbl>
              <c:idx val="0"/>
              <c:numFmt formatCode="0%" sourceLinked="0"/>
              <c:spPr/>
              <c:txPr>
                <a:bodyPr/>
                <a:lstStyle/>
                <a:p>
                  <a:pPr lvl="0">
                    <a:defRPr sz="1000" b="0" i="0" u="none" strike="noStrike">
                      <a:solidFill>
                        <a:srgbClr val="000000"/>
                      </a:solidFill>
                      <a:effectLst/>
                      <a:latin typeface="Calibri"/>
                    </a:defRPr>
                  </a:pPr>
                  <a:endParaRPr lang="ru-RU"/>
                </a:p>
              </c:txPr>
              <c:dLblPos val="inEnd"/>
              <c:showLegendKey val="0"/>
              <c:showVal val="0"/>
              <c:showCatName val="0"/>
              <c:showSerName val="0"/>
              <c:showPercent val="1"/>
              <c:showBubbleSize val="0"/>
            </c:dLbl>
            <c:numFmt formatCode="0%" sourceLinked="0"/>
            <c:spPr>
              <a:noFill/>
              <a:ln>
                <a:noFill/>
              </a:ln>
              <a:effectLst/>
            </c:spPr>
            <c:txPr>
              <a:bodyPr/>
              <a:lstStyle/>
              <a:p>
                <a:pPr lvl="0">
                  <a:defRPr sz="1000" b="0" i="0" u="none" strike="noStrike">
                    <a:solidFill>
                      <a:srgbClr val="000000"/>
                    </a:solidFill>
                    <a:effectLst/>
                    <a:latin typeface="Calibri"/>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Sheet1!$B$1:$B$1</c:f>
              <c:strCache>
                <c:ptCount val="1"/>
                <c:pt idx="0">
                  <c:v>Пользуются интернет-банком и мобильным-банком Не пользуются ничем</c:v>
                </c:pt>
              </c:strCache>
            </c:strRef>
          </c:cat>
          <c:val>
            <c:numRef>
              <c:f>Sheet1!$B$2:$B$2</c:f>
              <c:numCache>
                <c:formatCode>General</c:formatCode>
                <c:ptCount val="1"/>
                <c:pt idx="0">
                  <c:v>89</c:v>
                </c:pt>
              </c:numCache>
            </c:numRef>
          </c:val>
        </c:ser>
        <c:ser>
          <c:idx val="0"/>
          <c:order val="1"/>
          <c:tx>
            <c:strRef>
              <c:f>Sheet1!$A$3</c:f>
              <c:strCache>
                <c:ptCount val="2"/>
              </c:strCache>
            </c:strRef>
          </c:tx>
          <c:spPr>
            <a:solidFill>
              <a:srgbClr val="4F81BD"/>
            </a:solidFill>
            <a:ln w="12700" cap="flat">
              <a:noFill/>
              <a:miter lim="400000"/>
            </a:ln>
            <a:effectLst/>
          </c:spPr>
          <c:explosion val="25"/>
          <c:dPt>
            <c:idx val="0"/>
            <c:bubble3D val="0"/>
          </c:dPt>
          <c:dLbls>
            <c:dLbl>
              <c:idx val="0"/>
              <c:numFmt formatCode="0%" sourceLinked="0"/>
              <c:spPr/>
              <c:txPr>
                <a:bodyPr/>
                <a:lstStyle/>
                <a:p>
                  <a:pPr lvl="0">
                    <a:defRPr sz="1000" b="0" i="0" u="none" strike="noStrike">
                      <a:solidFill>
                        <a:srgbClr val="000000"/>
                      </a:solidFill>
                      <a:effectLst/>
                      <a:latin typeface="Calibri"/>
                    </a:defRPr>
                  </a:pPr>
                  <a:endParaRPr lang="ru-RU"/>
                </a:p>
              </c:txPr>
              <c:dLblPos val="inEnd"/>
              <c:showLegendKey val="0"/>
              <c:showVal val="0"/>
              <c:showCatName val="0"/>
              <c:showSerName val="0"/>
              <c:showPercent val="1"/>
              <c:showBubbleSize val="0"/>
            </c:dLbl>
            <c:numFmt formatCode="0%" sourceLinked="0"/>
            <c:spPr>
              <a:noFill/>
              <a:ln>
                <a:noFill/>
              </a:ln>
              <a:effectLst/>
            </c:spPr>
            <c:txPr>
              <a:bodyPr/>
              <a:lstStyle/>
              <a:p>
                <a:pPr lvl="0">
                  <a:defRPr sz="1000" b="0" i="0" u="none" strike="noStrike">
                    <a:solidFill>
                      <a:srgbClr val="000000"/>
                    </a:solidFill>
                    <a:effectLst/>
                    <a:latin typeface="Calibri"/>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Sheet1!$B$1:$B$1</c:f>
              <c:strCache>
                <c:ptCount val="1"/>
                <c:pt idx="0">
                  <c:v>Пользуются интернет-банком и мобильным-банком Не пользуются ничем</c:v>
                </c:pt>
              </c:strCache>
            </c:strRef>
          </c:cat>
          <c:val>
            <c:numRef>
              <c:f>Sheet1!$B$3:$B$3</c:f>
              <c:numCache>
                <c:formatCode>General</c:formatCode>
                <c:ptCount val="1"/>
                <c:pt idx="0">
                  <c:v>11</c:v>
                </c:pt>
              </c:numCache>
            </c:numRef>
          </c:val>
        </c:ser>
        <c:dLbls>
          <c:showLegendKey val="0"/>
          <c:showVal val="0"/>
          <c:showCatName val="0"/>
          <c:showSerName val="0"/>
          <c:showPercent val="0"/>
          <c:showBubbleSize val="0"/>
          <c:showLeaderLines val="0"/>
        </c:dLbls>
        <c:firstSliceAng val="0"/>
      </c:pieChart>
      <c:spPr>
        <a:solidFill>
          <a:srgbClr val="FFFFFF"/>
        </a:solidFill>
        <a:ln w="12700" cap="flat">
          <a:noFill/>
          <a:miter lim="400000"/>
        </a:ln>
        <a:effectLst/>
      </c:spPr>
    </c:plotArea>
    <c:plotVisOnly val="1"/>
    <c:dispBlanksAs val="gap"/>
    <c:showDLblsOverMax val="1"/>
  </c:chart>
  <c:spPr>
    <a:noFill/>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roundedCorners val="0"/>
  <c:style val="2"/>
  <c:chart>
    <c:title>
      <c:tx>
        <c:rich>
          <a:bodyPr rot="0"/>
          <a:lstStyle/>
          <a:p>
            <a:pPr lvl="0"/>
            <a:endParaRPr lang="ru-RU"/>
          </a:p>
        </c:rich>
      </c:tx>
      <c:overlay val="1"/>
    </c:title>
    <c:autoTitleDeleted val="0"/>
    <c:plotArea>
      <c:layout>
        <c:manualLayout>
          <c:layoutTarget val="inner"/>
          <c:xMode val="edge"/>
          <c:yMode val="edge"/>
          <c:x val="5.0000000000000001E-3"/>
          <c:y val="5.0000000000000001E-3"/>
          <c:w val="1"/>
          <c:h val="1"/>
        </c:manualLayout>
      </c:layout>
      <c:pieChart>
        <c:varyColors val="0"/>
        <c:ser>
          <c:idx val="0"/>
          <c:order val="0"/>
          <c:tx>
            <c:strRef>
              <c:f>Sheet1!$A$2</c:f>
              <c:strCache>
                <c:ptCount val="1"/>
              </c:strCache>
            </c:strRef>
          </c:tx>
          <c:spPr>
            <a:solidFill>
              <a:srgbClr val="4F81BD"/>
            </a:solidFill>
            <a:ln w="12700" cap="flat">
              <a:noFill/>
              <a:miter lim="400000"/>
            </a:ln>
            <a:effectLst/>
          </c:spPr>
          <c:dPt>
            <c:idx val="0"/>
            <c:bubble3D val="0"/>
          </c:dPt>
          <c:dLbls>
            <c:dLbl>
              <c:idx val="0"/>
              <c:numFmt formatCode="0%" sourceLinked="0"/>
              <c:spPr/>
              <c:txPr>
                <a:bodyPr/>
                <a:lstStyle/>
                <a:p>
                  <a:pPr lvl="0">
                    <a:defRPr sz="1000" b="0" i="0" u="none" strike="noStrike">
                      <a:solidFill>
                        <a:srgbClr val="000000"/>
                      </a:solidFill>
                      <a:effectLst/>
                      <a:latin typeface="Calibri"/>
                    </a:defRPr>
                  </a:pPr>
                  <a:endParaRPr lang="ru-RU"/>
                </a:p>
              </c:txPr>
              <c:dLblPos val="inEnd"/>
              <c:showLegendKey val="0"/>
              <c:showVal val="0"/>
              <c:showCatName val="0"/>
              <c:showSerName val="0"/>
              <c:showPercent val="1"/>
              <c:showBubbleSize val="0"/>
            </c:dLbl>
            <c:numFmt formatCode="0%" sourceLinked="0"/>
            <c:spPr>
              <a:noFill/>
              <a:ln>
                <a:noFill/>
              </a:ln>
              <a:effectLst/>
            </c:spPr>
            <c:txPr>
              <a:bodyPr/>
              <a:lstStyle/>
              <a:p>
                <a:pPr lvl="0">
                  <a:defRPr sz="1000" b="0" i="0" u="none" strike="noStrike">
                    <a:solidFill>
                      <a:srgbClr val="000000"/>
                    </a:solidFill>
                    <a:effectLst/>
                    <a:latin typeface="Calibri"/>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Sheet1!$B$1:$B$1</c:f>
              <c:strCache>
                <c:ptCount val="1"/>
                <c:pt idx="0">
                  <c:v>Пользуются интернет-банком и мобильным-банком одного банка Пользуются интернет-банком и мобильным-банком разных банков</c:v>
                </c:pt>
              </c:strCache>
            </c:strRef>
          </c:cat>
          <c:val>
            <c:numRef>
              <c:f>Sheet1!$B$2:$B$2</c:f>
              <c:numCache>
                <c:formatCode>General</c:formatCode>
                <c:ptCount val="1"/>
                <c:pt idx="0">
                  <c:v>95</c:v>
                </c:pt>
              </c:numCache>
            </c:numRef>
          </c:val>
        </c:ser>
        <c:ser>
          <c:idx val="0"/>
          <c:order val="1"/>
          <c:tx>
            <c:strRef>
              <c:f>Sheet1!$A$3</c:f>
              <c:strCache>
                <c:ptCount val="2"/>
              </c:strCache>
            </c:strRef>
          </c:tx>
          <c:spPr>
            <a:solidFill>
              <a:srgbClr val="4F81BD"/>
            </a:solidFill>
            <a:ln w="12700" cap="flat">
              <a:noFill/>
              <a:miter lim="400000"/>
            </a:ln>
            <a:effectLst/>
          </c:spPr>
          <c:dPt>
            <c:idx val="0"/>
            <c:bubble3D val="0"/>
          </c:dPt>
          <c:dLbls>
            <c:dLbl>
              <c:idx val="0"/>
              <c:numFmt formatCode="0%" sourceLinked="0"/>
              <c:spPr/>
              <c:txPr>
                <a:bodyPr/>
                <a:lstStyle/>
                <a:p>
                  <a:pPr lvl="0">
                    <a:defRPr sz="1000" b="0" i="0" u="none" strike="noStrike">
                      <a:solidFill>
                        <a:srgbClr val="000000"/>
                      </a:solidFill>
                      <a:effectLst/>
                      <a:latin typeface="Calibri"/>
                    </a:defRPr>
                  </a:pPr>
                  <a:endParaRPr lang="ru-RU"/>
                </a:p>
              </c:txPr>
              <c:dLblPos val="inEnd"/>
              <c:showLegendKey val="0"/>
              <c:showVal val="0"/>
              <c:showCatName val="0"/>
              <c:showSerName val="0"/>
              <c:showPercent val="1"/>
              <c:showBubbleSize val="0"/>
            </c:dLbl>
            <c:numFmt formatCode="0%" sourceLinked="0"/>
            <c:spPr>
              <a:noFill/>
              <a:ln>
                <a:noFill/>
              </a:ln>
              <a:effectLst/>
            </c:spPr>
            <c:txPr>
              <a:bodyPr/>
              <a:lstStyle/>
              <a:p>
                <a:pPr lvl="0">
                  <a:defRPr sz="1000" b="0" i="0" u="none" strike="noStrike">
                    <a:solidFill>
                      <a:srgbClr val="000000"/>
                    </a:solidFill>
                    <a:effectLst/>
                    <a:latin typeface="Calibri"/>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Sheet1!$B$1:$B$1</c:f>
              <c:strCache>
                <c:ptCount val="1"/>
                <c:pt idx="0">
                  <c:v>Пользуются интернет-банком и мобильным-банком одного банка Пользуются интернет-банком и мобильным-банком разных банков</c:v>
                </c:pt>
              </c:strCache>
            </c:strRef>
          </c:cat>
          <c:val>
            <c:numRef>
              <c:f>Sheet1!$B$3:$B$3</c:f>
              <c:numCache>
                <c:formatCode>General</c:formatCode>
                <c:ptCount val="1"/>
                <c:pt idx="0">
                  <c:v>5</c:v>
                </c:pt>
              </c:numCache>
            </c:numRef>
          </c:val>
        </c:ser>
        <c:dLbls>
          <c:showLegendKey val="0"/>
          <c:showVal val="0"/>
          <c:showCatName val="0"/>
          <c:showSerName val="0"/>
          <c:showPercent val="0"/>
          <c:showBubbleSize val="0"/>
          <c:showLeaderLines val="0"/>
        </c:dLbls>
        <c:firstSliceAng val="0"/>
      </c:pieChart>
      <c:spPr>
        <a:solidFill>
          <a:srgbClr val="FFFFFF"/>
        </a:solidFill>
        <a:ln w="12700" cap="flat">
          <a:noFill/>
          <a:miter lim="400000"/>
        </a:ln>
        <a:effectLst/>
      </c:spPr>
    </c:plotArea>
    <c:plotVisOnly val="1"/>
    <c:dispBlanksAs val="gap"/>
    <c:showDLblsOverMax val="1"/>
  </c:chart>
  <c:spPr>
    <a:solidFill>
      <a:srgbClr val="FFFFFF"/>
    </a:solid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roundedCorners val="0"/>
  <c:style val="2"/>
  <c:chart>
    <c:title>
      <c:tx>
        <c:rich>
          <a:bodyPr rot="0"/>
          <a:lstStyle/>
          <a:p>
            <a:pPr lvl="0"/>
            <a:endParaRPr lang="ru-RU"/>
          </a:p>
        </c:rich>
      </c:tx>
      <c:overlay val="1"/>
    </c:title>
    <c:autoTitleDeleted val="0"/>
    <c:plotArea>
      <c:layout>
        <c:manualLayout>
          <c:layoutTarget val="inner"/>
          <c:xMode val="edge"/>
          <c:yMode val="edge"/>
          <c:x val="5.9421099999999998E-2"/>
          <c:y val="4.3343699999999999E-2"/>
          <c:w val="0.94057900000000005"/>
          <c:h val="0.87402000000000002"/>
        </c:manualLayout>
      </c:layout>
      <c:lineChart>
        <c:grouping val="standard"/>
        <c:varyColors val="0"/>
        <c:ser>
          <c:idx val="0"/>
          <c:order val="0"/>
          <c:tx>
            <c:strRef>
              <c:f>Sheet1!$A$2</c:f>
              <c:strCache>
                <c:ptCount val="1"/>
                <c:pt idx="0">
                  <c:v>Количество пользователей интернет-банкингом в России (в % от населения)</c:v>
                </c:pt>
              </c:strCache>
            </c:strRef>
          </c:tx>
          <c:spPr>
            <a:ln w="28575" cap="flat">
              <a:solidFill>
                <a:srgbClr val="4A7EBB"/>
              </a:solidFill>
              <a:prstDash val="solid"/>
              <a:bevel/>
            </a:ln>
            <a:effectLst/>
          </c:spPr>
          <c:marker>
            <c:symbol val="none"/>
          </c:marker>
          <c:dLbls>
            <c:numFmt formatCode="0" sourceLinked="0"/>
            <c:spPr>
              <a:noFill/>
              <a:ln>
                <a:noFill/>
              </a:ln>
              <a:effectLst/>
            </c:spPr>
            <c:txPr>
              <a:bodyPr/>
              <a:lstStyle/>
              <a:p>
                <a:pPr lvl="0">
                  <a:defRPr sz="1000" b="0" i="0" u="none" strike="noStrike">
                    <a:solidFill>
                      <a:srgbClr val="000000"/>
                    </a:solidFill>
                    <a:effectLst/>
                    <a:latin typeface="Times New Roman"/>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9525" cap="flat">
                <a:solidFill>
                  <a:srgbClr val="000000"/>
                </a:solidFill>
                <a:prstDash val="solid"/>
                <a:bevel/>
              </a:ln>
              <a:effectLst>
                <a:outerShdw blurRad="12700" dist="25400" dir="7320000" algn="tl">
                  <a:srgbClr val="000000">
                    <a:alpha val="25000"/>
                  </a:srgbClr>
                </a:outerShdw>
              </a:effectLst>
            </c:spPr>
            <c:trendlineType val="poly"/>
            <c:order val="5"/>
            <c:dispRSqr val="1"/>
            <c:dispEq val="1"/>
            <c:trendlineLbl>
              <c:numFmt formatCode="General" sourceLinked="0"/>
            </c:trendlineLbl>
          </c:trendline>
          <c:cat>
            <c:strRef>
              <c:f>Sheet1!$B$1:$K$1</c:f>
              <c:strCache>
                <c:ptCount val="10"/>
                <c:pt idx="0">
                  <c:v>2008</c:v>
                </c:pt>
                <c:pt idx="1">
                  <c:v>2009</c:v>
                </c:pt>
                <c:pt idx="2">
                  <c:v>2010</c:v>
                </c:pt>
                <c:pt idx="3">
                  <c:v>2011</c:v>
                </c:pt>
                <c:pt idx="4">
                  <c:v>2012</c:v>
                </c:pt>
                <c:pt idx="5">
                  <c:v>2013</c:v>
                </c:pt>
                <c:pt idx="6">
                  <c:v>2014</c:v>
                </c:pt>
                <c:pt idx="7">
                  <c:v>2015</c:v>
                </c:pt>
                <c:pt idx="8">
                  <c:v>2016</c:v>
                </c:pt>
                <c:pt idx="9">
                  <c:v>2017</c:v>
                </c:pt>
              </c:strCache>
            </c:strRef>
          </c:cat>
          <c:val>
            <c:numRef>
              <c:f>Sheet1!$B$2:$K$2</c:f>
              <c:numCache>
                <c:formatCode>General</c:formatCode>
                <c:ptCount val="10"/>
                <c:pt idx="0">
                  <c:v>11</c:v>
                </c:pt>
                <c:pt idx="1">
                  <c:v>12</c:v>
                </c:pt>
                <c:pt idx="2">
                  <c:v>13</c:v>
                </c:pt>
                <c:pt idx="3">
                  <c:v>18</c:v>
                </c:pt>
                <c:pt idx="4">
                  <c:v>25</c:v>
                </c:pt>
                <c:pt idx="5">
                  <c:v>55</c:v>
                </c:pt>
                <c:pt idx="6">
                  <c:v>64</c:v>
                </c:pt>
                <c:pt idx="7">
                  <c:v>64</c:v>
                </c:pt>
                <c:pt idx="8">
                  <c:v>64.5</c:v>
                </c:pt>
                <c:pt idx="9">
                  <c:v>70</c:v>
                </c:pt>
              </c:numCache>
            </c:numRef>
          </c:val>
          <c:smooth val="0"/>
        </c:ser>
        <c:dLbls>
          <c:showLegendKey val="0"/>
          <c:showVal val="0"/>
          <c:showCatName val="0"/>
          <c:showSerName val="0"/>
          <c:showPercent val="0"/>
          <c:showBubbleSize val="0"/>
        </c:dLbls>
        <c:smooth val="0"/>
        <c:axId val="592245104"/>
        <c:axId val="592239616"/>
      </c:lineChart>
      <c:catAx>
        <c:axId val="592245104"/>
        <c:scaling>
          <c:orientation val="minMax"/>
        </c:scaling>
        <c:delete val="0"/>
        <c:axPos val="b"/>
        <c:numFmt formatCode="General" sourceLinked="1"/>
        <c:majorTickMark val="out"/>
        <c:minorTickMark val="none"/>
        <c:tickLblPos val="low"/>
        <c:spPr>
          <a:ln w="12700" cap="flat">
            <a:solidFill>
              <a:srgbClr val="000000"/>
            </a:solidFill>
            <a:prstDash val="solid"/>
            <a:miter lim="400000"/>
          </a:ln>
        </c:spPr>
        <c:txPr>
          <a:bodyPr rot="0"/>
          <a:lstStyle/>
          <a:p>
            <a:pPr lvl="0">
              <a:defRPr sz="1000" b="0" i="0" u="none" strike="noStrike">
                <a:solidFill>
                  <a:srgbClr val="000000"/>
                </a:solidFill>
                <a:effectLst/>
                <a:latin typeface="Times New Roman"/>
              </a:defRPr>
            </a:pPr>
            <a:endParaRPr lang="ru-RU"/>
          </a:p>
        </c:txPr>
        <c:crossAx val="592239616"/>
        <c:crosses val="autoZero"/>
        <c:auto val="1"/>
        <c:lblAlgn val="ctr"/>
        <c:lblOffset val="100"/>
        <c:noMultiLvlLbl val="1"/>
      </c:catAx>
      <c:valAx>
        <c:axId val="592239616"/>
        <c:scaling>
          <c:orientation val="minMax"/>
        </c:scaling>
        <c:delete val="0"/>
        <c:axPos val="l"/>
        <c:majorGridlines>
          <c:spPr>
            <a:ln w="12700" cap="flat">
              <a:solidFill>
                <a:srgbClr val="888888"/>
              </a:solidFill>
              <a:prstDash val="solid"/>
              <a:bevel/>
            </a:ln>
          </c:spPr>
        </c:majorGridlines>
        <c:numFmt formatCode="0" sourceLinked="0"/>
        <c:majorTickMark val="out"/>
        <c:minorTickMark val="none"/>
        <c:tickLblPos val="nextTo"/>
        <c:spPr>
          <a:ln w="12700" cap="flat">
            <a:solidFill>
              <a:srgbClr val="000000"/>
            </a:solidFill>
            <a:prstDash val="solid"/>
            <a:miter lim="400000"/>
          </a:ln>
        </c:spPr>
        <c:txPr>
          <a:bodyPr rot="0"/>
          <a:lstStyle/>
          <a:p>
            <a:pPr lvl="0">
              <a:defRPr sz="1000" b="0" i="0" u="none" strike="noStrike">
                <a:solidFill>
                  <a:srgbClr val="000000"/>
                </a:solidFill>
                <a:effectLst/>
                <a:latin typeface="Times New Roman"/>
              </a:defRPr>
            </a:pPr>
            <a:endParaRPr lang="ru-RU"/>
          </a:p>
        </c:txPr>
        <c:crossAx val="592245104"/>
        <c:crosses val="autoZero"/>
        <c:crossBetween val="between"/>
        <c:majorUnit val="20"/>
        <c:minorUnit val="10"/>
      </c:valAx>
      <c:spPr>
        <a:solidFill>
          <a:srgbClr val="FFFFFF"/>
        </a:solidFill>
        <a:ln w="12700" cap="flat">
          <a:noFill/>
          <a:miter lim="400000"/>
        </a:ln>
        <a:effectLst/>
      </c:spPr>
    </c:plotArea>
    <c:plotVisOnly val="1"/>
    <c:dispBlanksAs val="gap"/>
    <c:showDLblsOverMax val="1"/>
  </c:chart>
  <c:spPr>
    <a:solidFill>
      <a:srgbClr val="FFFFFF"/>
    </a:solidFill>
    <a:ln>
      <a:noFill/>
    </a:ln>
    <a:effectLst/>
  </c:spPr>
  <c:externalData r:id="rId1">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3986</Words>
  <Characters>22722</Characters>
  <Application>Microsoft Office Word</Application>
  <DocSecurity>0</DocSecurity>
  <Lines>189</Lines>
  <Paragraphs>53</Paragraphs>
  <ScaleCrop>false</ScaleCrop>
  <Company/>
  <LinksUpToDate>false</LinksUpToDate>
  <CharactersWithSpaces>26655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cp:lastModifiedBy>
  <cp:revision>2</cp:revision>
  <dcterms:created xsi:type="dcterms:W3CDTF">2017-12-01T13:38:00Z</dcterms:created>
  <dcterms:modified xsi:type="dcterms:W3CDTF">2017-12-01T13:51:00Z</dcterms:modified>
</cp:coreProperties>
</file>