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DD8D7" w14:textId="77777777" w:rsidR="00807379" w:rsidRPr="00507CC7" w:rsidRDefault="00C30D0B" w:rsidP="00E93E57">
      <w:pPr>
        <w:pStyle w:val="NormalWeb"/>
        <w:shd w:val="clear" w:color="auto" w:fill="FFFFFF"/>
        <w:tabs>
          <w:tab w:val="left" w:pos="0"/>
        </w:tabs>
        <w:spacing w:line="360" w:lineRule="auto"/>
        <w:contextualSpacing/>
        <w:jc w:val="center"/>
        <w:rPr>
          <w:b/>
          <w:color w:val="000000"/>
          <w:sz w:val="28"/>
          <w:szCs w:val="28"/>
          <w:lang w:val="en-US"/>
        </w:rPr>
      </w:pPr>
      <w:r w:rsidRPr="004B1B33">
        <w:rPr>
          <w:b/>
          <w:color w:val="000000"/>
          <w:sz w:val="28"/>
          <w:szCs w:val="28"/>
          <w:lang w:val="en-US"/>
        </w:rPr>
        <w:t xml:space="preserve">Legal aspects of organizing AML/CFT system in </w:t>
      </w:r>
      <w:r w:rsidR="00BD0DB1" w:rsidRPr="004B1B33">
        <w:rPr>
          <w:b/>
          <w:color w:val="000000"/>
          <w:sz w:val="28"/>
          <w:szCs w:val="28"/>
          <w:lang w:val="en-US"/>
        </w:rPr>
        <w:t xml:space="preserve">foreign companies </w:t>
      </w:r>
    </w:p>
    <w:p w14:paraId="5397EB1D" w14:textId="77777777" w:rsidR="00E93E57" w:rsidRPr="00E93E57" w:rsidRDefault="00E93E57" w:rsidP="00507CC7">
      <w:pPr>
        <w:pStyle w:val="NormalWeb"/>
        <w:shd w:val="clear" w:color="auto" w:fill="FFFFFF"/>
        <w:tabs>
          <w:tab w:val="left" w:pos="1843"/>
        </w:tabs>
        <w:spacing w:line="360" w:lineRule="auto"/>
        <w:ind w:firstLine="567"/>
        <w:contextualSpacing/>
        <w:jc w:val="both"/>
        <w:rPr>
          <w:b/>
          <w:color w:val="000000"/>
          <w:szCs w:val="28"/>
          <w:lang w:val="en-US"/>
        </w:rPr>
      </w:pPr>
    </w:p>
    <w:p w14:paraId="104D025E" w14:textId="77777777" w:rsidR="00507CC7" w:rsidRPr="00507CC7" w:rsidRDefault="00507CC7" w:rsidP="00507CC7">
      <w:pPr>
        <w:pStyle w:val="NormalWeb"/>
        <w:shd w:val="clear" w:color="auto" w:fill="FFFFFF"/>
        <w:tabs>
          <w:tab w:val="left" w:pos="1843"/>
        </w:tabs>
        <w:spacing w:line="360" w:lineRule="auto"/>
        <w:ind w:firstLine="567"/>
        <w:contextualSpacing/>
        <w:jc w:val="both"/>
        <w:rPr>
          <w:b/>
          <w:color w:val="000000"/>
          <w:szCs w:val="28"/>
          <w:lang w:val="en-US"/>
        </w:rPr>
      </w:pPr>
      <w:r w:rsidRPr="00507CC7">
        <w:rPr>
          <w:b/>
          <w:color w:val="000000"/>
          <w:szCs w:val="28"/>
          <w:lang w:val="en-US"/>
        </w:rPr>
        <w:t>Botasheva L.H., Levakova D.A., Chupilina T.S.</w:t>
      </w:r>
    </w:p>
    <w:p w14:paraId="1272A521" w14:textId="77777777" w:rsidR="00507CC7" w:rsidRPr="00507CC7" w:rsidRDefault="00507CC7" w:rsidP="00507CC7">
      <w:pPr>
        <w:pStyle w:val="NormalWeb"/>
        <w:shd w:val="clear" w:color="auto" w:fill="FFFFFF"/>
        <w:tabs>
          <w:tab w:val="left" w:pos="1843"/>
        </w:tabs>
        <w:spacing w:line="360" w:lineRule="auto"/>
        <w:ind w:firstLine="567"/>
        <w:contextualSpacing/>
        <w:jc w:val="both"/>
        <w:rPr>
          <w:i/>
          <w:color w:val="000000"/>
          <w:szCs w:val="28"/>
          <w:lang w:val="en-US"/>
        </w:rPr>
      </w:pPr>
      <w:r w:rsidRPr="00507CC7">
        <w:rPr>
          <w:i/>
          <w:color w:val="000000"/>
          <w:szCs w:val="28"/>
          <w:lang w:val="en-US"/>
        </w:rPr>
        <w:t>Financial University under the Government of the Russian Federation, Moscow, Russia</w:t>
      </w:r>
    </w:p>
    <w:p w14:paraId="06238CA8" w14:textId="77777777" w:rsidR="00E93E57" w:rsidRPr="002D6641" w:rsidRDefault="00E93E57" w:rsidP="00507CC7">
      <w:pPr>
        <w:pStyle w:val="NormalWeb"/>
        <w:shd w:val="clear" w:color="auto" w:fill="FFFFFF"/>
        <w:tabs>
          <w:tab w:val="left" w:pos="1843"/>
        </w:tabs>
        <w:spacing w:line="360" w:lineRule="auto"/>
        <w:ind w:firstLine="567"/>
        <w:contextualSpacing/>
        <w:jc w:val="both"/>
        <w:rPr>
          <w:color w:val="000000"/>
          <w:szCs w:val="28"/>
          <w:lang w:val="en-US"/>
        </w:rPr>
      </w:pPr>
    </w:p>
    <w:p w14:paraId="208CE7E7" w14:textId="79671A91" w:rsidR="00507CC7" w:rsidRPr="00E93E57" w:rsidRDefault="00507CC7" w:rsidP="00507CC7">
      <w:pPr>
        <w:pStyle w:val="NormalWeb"/>
        <w:shd w:val="clear" w:color="auto" w:fill="FFFFFF"/>
        <w:tabs>
          <w:tab w:val="left" w:pos="1843"/>
        </w:tabs>
        <w:spacing w:line="360" w:lineRule="auto"/>
        <w:ind w:firstLine="567"/>
        <w:contextualSpacing/>
        <w:jc w:val="both"/>
        <w:rPr>
          <w:lang w:val="en-US"/>
        </w:rPr>
      </w:pPr>
      <w:r w:rsidRPr="00E93E57">
        <w:rPr>
          <w:lang w:val="en-US"/>
        </w:rPr>
        <w:t xml:space="preserve">Botasheva L.H.: </w:t>
      </w:r>
      <w:r w:rsidRPr="00E93E57">
        <w:rPr>
          <w:shd w:val="clear" w:color="auto" w:fill="FFFFFF"/>
          <w:lang w:val="en-US"/>
        </w:rPr>
        <w:t xml:space="preserve">ORCiD </w:t>
      </w:r>
      <w:r w:rsidR="00E93E57" w:rsidRPr="00E93E57">
        <w:rPr>
          <w:shd w:val="clear" w:color="auto" w:fill="FFFFFF"/>
          <w:lang w:val="en-US"/>
        </w:rPr>
        <w:t>0000-0002-8391-8751</w:t>
      </w:r>
      <w:r w:rsidR="00E93E57" w:rsidRPr="00E93E57">
        <w:rPr>
          <w:lang w:val="en-US"/>
        </w:rPr>
        <w:t xml:space="preserve">; </w:t>
      </w:r>
      <w:r w:rsidRPr="00E93E57">
        <w:rPr>
          <w:lang w:val="en-US"/>
        </w:rPr>
        <w:t>botasheva_luda@mail.ru</w:t>
      </w:r>
    </w:p>
    <w:p w14:paraId="47DC6017" w14:textId="3D8402B4" w:rsidR="00507CC7" w:rsidRPr="00E93E57" w:rsidRDefault="00507CC7" w:rsidP="00507CC7">
      <w:pPr>
        <w:pStyle w:val="NormalWeb"/>
        <w:shd w:val="clear" w:color="auto" w:fill="FFFFFF"/>
        <w:tabs>
          <w:tab w:val="left" w:pos="1843"/>
        </w:tabs>
        <w:spacing w:line="360" w:lineRule="auto"/>
        <w:ind w:firstLine="567"/>
        <w:contextualSpacing/>
        <w:jc w:val="both"/>
        <w:rPr>
          <w:lang w:val="en-US"/>
        </w:rPr>
      </w:pPr>
      <w:r w:rsidRPr="00E93E57">
        <w:rPr>
          <w:lang w:val="en-US"/>
        </w:rPr>
        <w:t xml:space="preserve">Levakova D.A.: </w:t>
      </w:r>
      <w:r w:rsidRPr="00E93E57">
        <w:rPr>
          <w:shd w:val="clear" w:color="auto" w:fill="FFFFFF"/>
          <w:lang w:val="en-US"/>
        </w:rPr>
        <w:t>ORCiD</w:t>
      </w:r>
      <w:r w:rsidR="00E93E57" w:rsidRPr="00E93E57">
        <w:rPr>
          <w:shd w:val="clear" w:color="auto" w:fill="FFFFFF"/>
          <w:lang w:val="en-US"/>
        </w:rPr>
        <w:t xml:space="preserve"> 0000-0001-6681-3125; </w:t>
      </w:r>
    </w:p>
    <w:p w14:paraId="78A40C91" w14:textId="5189063D" w:rsidR="00507CC7" w:rsidRPr="00E93E57" w:rsidRDefault="00507CC7" w:rsidP="00507CC7">
      <w:pPr>
        <w:pStyle w:val="NormalWeb"/>
        <w:shd w:val="clear" w:color="auto" w:fill="FFFFFF"/>
        <w:tabs>
          <w:tab w:val="left" w:pos="1843"/>
        </w:tabs>
        <w:spacing w:line="360" w:lineRule="auto"/>
        <w:ind w:firstLine="567"/>
        <w:contextualSpacing/>
        <w:jc w:val="both"/>
        <w:rPr>
          <w:lang w:val="en-US"/>
        </w:rPr>
      </w:pPr>
      <w:r w:rsidRPr="00E93E57">
        <w:rPr>
          <w:lang w:val="en-US"/>
        </w:rPr>
        <w:t xml:space="preserve">Chupilina T.S.: </w:t>
      </w:r>
      <w:r w:rsidRPr="00E93E57">
        <w:rPr>
          <w:shd w:val="clear" w:color="auto" w:fill="FFFFFF"/>
          <w:lang w:val="en-US"/>
        </w:rPr>
        <w:t>ORCiD</w:t>
      </w:r>
      <w:r w:rsidR="00E93E57" w:rsidRPr="00E93E57">
        <w:rPr>
          <w:shd w:val="clear" w:color="auto" w:fill="FFFFFF"/>
          <w:lang w:val="en-US"/>
        </w:rPr>
        <w:t xml:space="preserve"> 0000-0002-2139-0226;</w:t>
      </w:r>
      <w:r w:rsidRPr="00E93E57">
        <w:rPr>
          <w:shd w:val="clear" w:color="auto" w:fill="FFFFFF"/>
          <w:lang w:val="en-US"/>
        </w:rPr>
        <w:t xml:space="preserve"> </w:t>
      </w:r>
      <w:r w:rsidRPr="00E93E57">
        <w:rPr>
          <w:lang w:val="en-US"/>
        </w:rPr>
        <w:t>tanyachupilina@mail.ru</w:t>
      </w:r>
    </w:p>
    <w:p w14:paraId="58A95F50" w14:textId="77777777" w:rsidR="00507CC7" w:rsidRPr="00507CC7" w:rsidRDefault="00507CC7" w:rsidP="00807379">
      <w:pPr>
        <w:pStyle w:val="NormalWeb"/>
        <w:shd w:val="clear" w:color="auto" w:fill="FFFFFF"/>
        <w:tabs>
          <w:tab w:val="left" w:pos="1843"/>
        </w:tabs>
        <w:spacing w:line="360" w:lineRule="auto"/>
        <w:ind w:firstLine="567"/>
        <w:contextualSpacing/>
        <w:jc w:val="center"/>
        <w:rPr>
          <w:b/>
          <w:color w:val="000000"/>
          <w:sz w:val="28"/>
          <w:szCs w:val="28"/>
          <w:lang w:val="en-US"/>
        </w:rPr>
      </w:pPr>
    </w:p>
    <w:p w14:paraId="32349B2E" w14:textId="0AE67DB4" w:rsidR="00857447" w:rsidRPr="00E93E57" w:rsidRDefault="00A34AB7" w:rsidP="002D6641">
      <w:pPr>
        <w:pStyle w:val="NormalWeb"/>
        <w:shd w:val="clear" w:color="auto" w:fill="FFFFFF"/>
        <w:tabs>
          <w:tab w:val="left" w:pos="1843"/>
        </w:tabs>
        <w:ind w:left="567"/>
        <w:contextualSpacing/>
        <w:jc w:val="both"/>
        <w:rPr>
          <w:color w:val="000000"/>
          <w:lang w:val="en-US"/>
        </w:rPr>
      </w:pPr>
      <w:r w:rsidRPr="00507CC7">
        <w:rPr>
          <w:b/>
          <w:color w:val="000000"/>
          <w:lang w:val="en-US"/>
        </w:rPr>
        <w:t>Abstract</w:t>
      </w:r>
      <w:r w:rsidR="00857447" w:rsidRPr="00507CC7">
        <w:rPr>
          <w:b/>
          <w:color w:val="000000"/>
          <w:lang w:val="en-US"/>
        </w:rPr>
        <w:t>:</w:t>
      </w:r>
      <w:r w:rsidR="00857447" w:rsidRPr="00507CC7">
        <w:rPr>
          <w:color w:val="000000"/>
          <w:lang w:val="en-US"/>
        </w:rPr>
        <w:t xml:space="preserve"> </w:t>
      </w:r>
      <w:r w:rsidR="00D1738B" w:rsidRPr="00507CC7">
        <w:rPr>
          <w:color w:val="000000"/>
          <w:lang w:val="en-US"/>
        </w:rPr>
        <w:t xml:space="preserve">The article explores Russian and international experience of AML / CFT regulation in companies. </w:t>
      </w:r>
      <w:r w:rsidR="002D6641">
        <w:rPr>
          <w:color w:val="000000"/>
          <w:lang w:val="en-US"/>
        </w:rPr>
        <w:t xml:space="preserve">It analyzes </w:t>
      </w:r>
      <w:r w:rsidR="00D1738B" w:rsidRPr="00507CC7">
        <w:rPr>
          <w:color w:val="000000"/>
          <w:lang w:val="en-US"/>
        </w:rPr>
        <w:t xml:space="preserve">the regulatory framework of the United Kingdom, France, the United States, Japan, Italy and other countries, </w:t>
      </w:r>
      <w:r w:rsidR="002D6641">
        <w:rPr>
          <w:color w:val="000000"/>
          <w:lang w:val="en-US"/>
        </w:rPr>
        <w:t>identifies the</w:t>
      </w:r>
      <w:r w:rsidR="00D1738B" w:rsidRPr="00507CC7">
        <w:rPr>
          <w:color w:val="000000"/>
          <w:lang w:val="en-US"/>
        </w:rPr>
        <w:t xml:space="preserve"> characteristic features of counteracting the legalization of proceeds from crime. </w:t>
      </w:r>
      <w:r w:rsidR="002D6641">
        <w:rPr>
          <w:color w:val="000000"/>
          <w:lang w:val="en-US"/>
        </w:rPr>
        <w:t>The study</w:t>
      </w:r>
      <w:r w:rsidR="00D1738B" w:rsidRPr="00507CC7">
        <w:rPr>
          <w:color w:val="000000"/>
          <w:lang w:val="en-US"/>
        </w:rPr>
        <w:t xml:space="preserve"> of analytical reports of </w:t>
      </w:r>
      <w:r w:rsidR="002D6641">
        <w:rPr>
          <w:color w:val="000000"/>
          <w:lang w:val="en-US"/>
        </w:rPr>
        <w:t xml:space="preserve">the </w:t>
      </w:r>
      <w:r w:rsidR="00D1738B" w:rsidRPr="00507CC7">
        <w:rPr>
          <w:color w:val="000000"/>
          <w:lang w:val="en-US"/>
        </w:rPr>
        <w:t xml:space="preserve">leading global consulting companies for 2014-2016 shows changes in the applied AML/CFT enforcement measures in the organizations: </w:t>
      </w:r>
      <w:r w:rsidR="002D6641">
        <w:rPr>
          <w:color w:val="000000"/>
          <w:lang w:val="en-US"/>
        </w:rPr>
        <w:t xml:space="preserve">it emphasizes </w:t>
      </w:r>
      <w:r w:rsidR="00D1738B" w:rsidRPr="00507CC7">
        <w:rPr>
          <w:color w:val="000000"/>
          <w:lang w:val="en-US"/>
        </w:rPr>
        <w:t xml:space="preserve">the quality of data of control measures for transactions, </w:t>
      </w:r>
      <w:r w:rsidR="002D6641">
        <w:rPr>
          <w:color w:val="000000"/>
          <w:lang w:val="en-US"/>
        </w:rPr>
        <w:t>focuses on</w:t>
      </w:r>
      <w:r w:rsidR="00D1738B" w:rsidRPr="00507CC7">
        <w:rPr>
          <w:color w:val="000000"/>
          <w:lang w:val="en-US"/>
        </w:rPr>
        <w:t xml:space="preserve"> the formation of a systematic approach to AML/CFT, </w:t>
      </w:r>
      <w:r w:rsidR="002D6641">
        <w:rPr>
          <w:color w:val="000000"/>
          <w:lang w:val="en-US"/>
        </w:rPr>
        <w:t xml:space="preserve">specifies the </w:t>
      </w:r>
      <w:r w:rsidR="00D1738B" w:rsidRPr="00507CC7">
        <w:rPr>
          <w:color w:val="000000"/>
          <w:lang w:val="en-US"/>
        </w:rPr>
        <w:t xml:space="preserve">KYC requirements. </w:t>
      </w:r>
      <w:r w:rsidR="002D6641">
        <w:rPr>
          <w:color w:val="000000"/>
          <w:lang w:val="en-US"/>
        </w:rPr>
        <w:t>The c</w:t>
      </w:r>
      <w:r w:rsidR="00D1738B" w:rsidRPr="00507CC7">
        <w:rPr>
          <w:color w:val="000000"/>
          <w:lang w:val="en-US"/>
        </w:rPr>
        <w:t>omparison of established international and national requirements allows to assess the level of AML / CFT provision in Russia and propose innovations in the regulatory framework for AML / CFT regulation of Russian companies to improve its effectiveness: changing penalties, increasing the effectiveness of law-enforcement authorities cooperation, implementing the</w:t>
      </w:r>
      <w:r w:rsidR="00507CC7" w:rsidRPr="00507CC7">
        <w:rPr>
          <w:color w:val="000000"/>
          <w:lang w:val="en-US"/>
        </w:rPr>
        <w:t xml:space="preserve"> principle "know your customer"</w:t>
      </w:r>
      <w:r w:rsidR="00D1738B" w:rsidRPr="00507CC7">
        <w:rPr>
          <w:color w:val="000000"/>
          <w:lang w:val="en-US"/>
        </w:rPr>
        <w:t>, ensuring the regular training of all staff</w:t>
      </w:r>
      <w:r w:rsidR="00076391">
        <w:rPr>
          <w:color w:val="000000"/>
          <w:lang w:val="en-US"/>
        </w:rPr>
        <w:t>,</w:t>
      </w:r>
      <w:r w:rsidR="00D1738B" w:rsidRPr="00507CC7">
        <w:rPr>
          <w:color w:val="000000"/>
          <w:lang w:val="en-US"/>
        </w:rPr>
        <w:t xml:space="preserve"> and other methods.</w:t>
      </w:r>
    </w:p>
    <w:p w14:paraId="69A4E875" w14:textId="77777777" w:rsidR="00507CC7" w:rsidRPr="00E93E57" w:rsidRDefault="00507CC7" w:rsidP="00507CC7">
      <w:pPr>
        <w:pStyle w:val="NormalWeb"/>
        <w:shd w:val="clear" w:color="auto" w:fill="FFFFFF"/>
        <w:tabs>
          <w:tab w:val="left" w:pos="1843"/>
        </w:tabs>
        <w:ind w:left="567"/>
        <w:contextualSpacing/>
        <w:jc w:val="both"/>
        <w:rPr>
          <w:color w:val="000000"/>
          <w:lang w:val="en-US"/>
        </w:rPr>
      </w:pPr>
    </w:p>
    <w:p w14:paraId="2731FCEB" w14:textId="13DA2208" w:rsidR="00857447" w:rsidRPr="00507CC7" w:rsidRDefault="00507CC7" w:rsidP="00507CC7">
      <w:pPr>
        <w:pStyle w:val="NormalWeb"/>
        <w:shd w:val="clear" w:color="auto" w:fill="FFFFFF"/>
        <w:tabs>
          <w:tab w:val="left" w:pos="1843"/>
        </w:tabs>
        <w:ind w:left="567"/>
        <w:contextualSpacing/>
        <w:rPr>
          <w:color w:val="000000"/>
          <w:lang w:val="en-US"/>
        </w:rPr>
      </w:pPr>
      <w:r w:rsidRPr="00507CC7">
        <w:rPr>
          <w:b/>
          <w:color w:val="000000"/>
          <w:lang w:val="en-US"/>
        </w:rPr>
        <w:t>Key</w:t>
      </w:r>
      <w:r w:rsidR="00D1738B" w:rsidRPr="00507CC7">
        <w:rPr>
          <w:b/>
          <w:color w:val="000000"/>
          <w:lang w:val="en-US"/>
        </w:rPr>
        <w:t>words</w:t>
      </w:r>
      <w:r w:rsidR="00857447" w:rsidRPr="00507CC7">
        <w:rPr>
          <w:b/>
          <w:color w:val="000000"/>
          <w:lang w:val="en-US"/>
        </w:rPr>
        <w:t>:</w:t>
      </w:r>
      <w:r w:rsidR="00857447" w:rsidRPr="00507CC7">
        <w:rPr>
          <w:color w:val="000000"/>
          <w:lang w:val="en-US"/>
        </w:rPr>
        <w:t xml:space="preserve"> </w:t>
      </w:r>
      <w:r w:rsidR="00D1738B" w:rsidRPr="00507CC7">
        <w:rPr>
          <w:color w:val="000000"/>
          <w:lang w:val="en-US"/>
        </w:rPr>
        <w:t>AML/CFT</w:t>
      </w:r>
      <w:r w:rsidR="00206D8C" w:rsidRPr="00507CC7">
        <w:rPr>
          <w:color w:val="000000"/>
          <w:lang w:val="en-US"/>
        </w:rPr>
        <w:t xml:space="preserve">, </w:t>
      </w:r>
      <w:r w:rsidR="00A34AB7" w:rsidRPr="00507CC7">
        <w:rPr>
          <w:color w:val="000000"/>
          <w:lang w:val="en-US"/>
        </w:rPr>
        <w:t>legal framework, FATF</w:t>
      </w:r>
      <w:r w:rsidRPr="00507CC7">
        <w:rPr>
          <w:color w:val="000000"/>
          <w:lang w:val="en-US"/>
        </w:rPr>
        <w:t>.</w:t>
      </w:r>
    </w:p>
    <w:p w14:paraId="55F77B4E" w14:textId="77777777" w:rsidR="00507CC7" w:rsidRPr="00507CC7" w:rsidRDefault="00507CC7" w:rsidP="00857447">
      <w:pPr>
        <w:pStyle w:val="NormalWeb"/>
        <w:shd w:val="clear" w:color="auto" w:fill="FFFFFF"/>
        <w:tabs>
          <w:tab w:val="left" w:pos="1843"/>
        </w:tabs>
        <w:spacing w:line="360" w:lineRule="auto"/>
        <w:ind w:firstLine="567"/>
        <w:contextualSpacing/>
        <w:rPr>
          <w:color w:val="000000"/>
          <w:sz w:val="28"/>
          <w:szCs w:val="28"/>
          <w:lang w:val="en-US"/>
        </w:rPr>
      </w:pPr>
    </w:p>
    <w:p w14:paraId="5DD22103" w14:textId="77777777" w:rsidR="00507CC7" w:rsidRPr="00507CC7" w:rsidRDefault="00D1738B" w:rsidP="00507CC7">
      <w:pPr>
        <w:pStyle w:val="NormalWeb"/>
        <w:shd w:val="clear" w:color="auto" w:fill="FFFFFF"/>
        <w:tabs>
          <w:tab w:val="left" w:pos="1843"/>
        </w:tabs>
        <w:spacing w:line="360" w:lineRule="auto"/>
        <w:contextualSpacing/>
        <w:jc w:val="both"/>
        <w:rPr>
          <w:b/>
          <w:color w:val="000000"/>
          <w:sz w:val="28"/>
          <w:szCs w:val="28"/>
        </w:rPr>
      </w:pPr>
      <w:r w:rsidRPr="00507CC7">
        <w:rPr>
          <w:b/>
          <w:color w:val="000000"/>
          <w:sz w:val="28"/>
          <w:szCs w:val="28"/>
          <w:lang w:val="en-US"/>
        </w:rPr>
        <w:t>Introduction</w:t>
      </w:r>
    </w:p>
    <w:p w14:paraId="43C0889B" w14:textId="33A9E25E" w:rsidR="00301C91" w:rsidRPr="004B1B33" w:rsidRDefault="00D1738B" w:rsidP="00B815BE">
      <w:pPr>
        <w:pStyle w:val="NormalWeb"/>
        <w:shd w:val="clear" w:color="auto" w:fill="FFFFFF"/>
        <w:tabs>
          <w:tab w:val="left" w:pos="1843"/>
        </w:tabs>
        <w:spacing w:line="360" w:lineRule="auto"/>
        <w:contextualSpacing/>
        <w:jc w:val="both"/>
        <w:rPr>
          <w:color w:val="000000"/>
          <w:sz w:val="28"/>
          <w:szCs w:val="28"/>
          <w:lang w:val="en-US"/>
        </w:rPr>
      </w:pPr>
      <w:r w:rsidRPr="004B1B33">
        <w:rPr>
          <w:color w:val="000000"/>
          <w:sz w:val="28"/>
          <w:szCs w:val="28"/>
          <w:lang w:val="en-US"/>
        </w:rPr>
        <w:t xml:space="preserve">For anti-money </w:t>
      </w:r>
      <w:r w:rsidR="004B1B33" w:rsidRPr="004B1B33">
        <w:rPr>
          <w:color w:val="000000"/>
          <w:sz w:val="28"/>
          <w:szCs w:val="28"/>
          <w:lang w:val="en-US"/>
        </w:rPr>
        <w:t>laundering,</w:t>
      </w:r>
      <w:r w:rsidRPr="004B1B33">
        <w:rPr>
          <w:color w:val="000000"/>
          <w:sz w:val="28"/>
          <w:szCs w:val="28"/>
          <w:lang w:val="en-US"/>
        </w:rPr>
        <w:t xml:space="preserve"> the majority of countries organize specialized national </w:t>
      </w:r>
      <w:r w:rsidR="004B1B33" w:rsidRPr="004B1B33">
        <w:rPr>
          <w:color w:val="000000"/>
          <w:sz w:val="28"/>
          <w:szCs w:val="28"/>
          <w:lang w:val="en-US"/>
        </w:rPr>
        <w:t>system, which</w:t>
      </w:r>
      <w:r w:rsidRPr="004B1B33">
        <w:rPr>
          <w:color w:val="000000"/>
          <w:sz w:val="28"/>
          <w:szCs w:val="28"/>
          <w:lang w:val="en-US"/>
        </w:rPr>
        <w:t xml:space="preserve"> includes f</w:t>
      </w:r>
      <w:r w:rsidR="004B1B33">
        <w:rPr>
          <w:color w:val="000000"/>
          <w:sz w:val="28"/>
          <w:szCs w:val="28"/>
          <w:lang w:val="en-US"/>
        </w:rPr>
        <w:t>inancial monitoring. That said</w:t>
      </w:r>
      <w:r w:rsidR="00B815BE">
        <w:rPr>
          <w:color w:val="000000"/>
          <w:sz w:val="28"/>
          <w:szCs w:val="28"/>
          <w:lang w:val="en-US"/>
        </w:rPr>
        <w:t>,</w:t>
      </w:r>
      <w:r w:rsidR="004B1B33">
        <w:rPr>
          <w:color w:val="000000"/>
          <w:sz w:val="28"/>
          <w:szCs w:val="28"/>
          <w:lang w:val="en-US"/>
        </w:rPr>
        <w:t xml:space="preserve"> </w:t>
      </w:r>
      <w:r w:rsidRPr="004B1B33">
        <w:rPr>
          <w:color w:val="000000"/>
          <w:sz w:val="28"/>
          <w:szCs w:val="28"/>
          <w:lang w:val="en-US"/>
        </w:rPr>
        <w:t>international standards in AML/CFT implemented by UN, FATF, EU, Wolfsberg group, Basel committee have the major influence on the institutional and legal structure. They are the source of legal</w:t>
      </w:r>
      <w:r w:rsidR="00B815BE">
        <w:rPr>
          <w:color w:val="000000"/>
          <w:sz w:val="28"/>
          <w:szCs w:val="28"/>
          <w:lang w:val="en-US"/>
        </w:rPr>
        <w:t xml:space="preserve"> framework for national systems</w:t>
      </w:r>
      <w:r w:rsidRPr="004B1B33">
        <w:rPr>
          <w:color w:val="000000"/>
          <w:sz w:val="28"/>
          <w:szCs w:val="28"/>
          <w:lang w:val="en-US"/>
        </w:rPr>
        <w:t xml:space="preserve"> </w:t>
      </w:r>
      <w:r w:rsidR="00B815BE">
        <w:rPr>
          <w:color w:val="000000"/>
          <w:sz w:val="28"/>
          <w:szCs w:val="28"/>
          <w:lang w:val="en-US"/>
        </w:rPr>
        <w:t>leading</w:t>
      </w:r>
      <w:r w:rsidRPr="004B1B33">
        <w:rPr>
          <w:color w:val="000000"/>
          <w:sz w:val="28"/>
          <w:szCs w:val="28"/>
          <w:lang w:val="en-US"/>
        </w:rPr>
        <w:t xml:space="preserve"> to similarities in financial monitoring systems in different countries. And legal requirements in </w:t>
      </w:r>
      <w:r w:rsidR="00AD22F0" w:rsidRPr="004B1B33">
        <w:rPr>
          <w:color w:val="000000"/>
          <w:sz w:val="28"/>
          <w:szCs w:val="28"/>
          <w:lang w:val="en-US"/>
        </w:rPr>
        <w:t>turn</w:t>
      </w:r>
      <w:r w:rsidRPr="004B1B33">
        <w:rPr>
          <w:color w:val="000000"/>
          <w:sz w:val="28"/>
          <w:szCs w:val="28"/>
          <w:lang w:val="en-US"/>
        </w:rPr>
        <w:t xml:space="preserve"> are the source of AML/CFT framework for commercial companies.</w:t>
      </w:r>
    </w:p>
    <w:p w14:paraId="4C4575DA" w14:textId="3F148C5F" w:rsidR="00CD40D4" w:rsidRPr="00E063B0" w:rsidRDefault="00BE6EE8" w:rsidP="006A3FA1">
      <w:pPr>
        <w:pStyle w:val="NormalWeb"/>
        <w:shd w:val="clear" w:color="auto" w:fill="FFFFFF"/>
        <w:tabs>
          <w:tab w:val="left" w:pos="1843"/>
        </w:tabs>
        <w:spacing w:line="360" w:lineRule="auto"/>
        <w:contextualSpacing/>
        <w:jc w:val="both"/>
        <w:rPr>
          <w:color w:val="000000"/>
          <w:sz w:val="28"/>
          <w:szCs w:val="28"/>
          <w:lang w:val="en-US"/>
        </w:rPr>
      </w:pPr>
      <w:r w:rsidRPr="0002301A">
        <w:rPr>
          <w:color w:val="000000"/>
          <w:sz w:val="28"/>
          <w:szCs w:val="28"/>
          <w:lang w:val="en-US"/>
        </w:rPr>
        <w:t xml:space="preserve">Materials and methods: The abbreviation AML/CFT stands for Anti-Money Laundering and Combating the Financing of Terrorism. It is now understood as an established international system for Anti-Money Laundering and Combating the Financing of Terrorism, which includes financial intelligence, a system of </w:t>
      </w:r>
      <w:r w:rsidRPr="0002301A">
        <w:rPr>
          <w:color w:val="000000"/>
          <w:sz w:val="28"/>
          <w:szCs w:val="28"/>
          <w:lang w:val="en-US"/>
        </w:rPr>
        <w:lastRenderedPageBreak/>
        <w:t>supervisory and law enforcement authorities</w:t>
      </w:r>
      <w:r w:rsidR="00CD40D4" w:rsidRPr="0002301A">
        <w:rPr>
          <w:color w:val="000000"/>
          <w:sz w:val="28"/>
          <w:szCs w:val="28"/>
          <w:lang w:val="en-US"/>
        </w:rPr>
        <w:t xml:space="preserve">, </w:t>
      </w:r>
      <w:r w:rsidRPr="0002301A">
        <w:rPr>
          <w:color w:val="000000"/>
          <w:sz w:val="28"/>
          <w:szCs w:val="28"/>
          <w:lang w:val="en-US"/>
        </w:rPr>
        <w:t>intergovernmental structures and organizations</w:t>
      </w:r>
      <w:r w:rsidR="003153D7" w:rsidRPr="0002301A">
        <w:rPr>
          <w:color w:val="000000"/>
          <w:sz w:val="28"/>
          <w:szCs w:val="28"/>
          <w:lang w:val="en-US"/>
        </w:rPr>
        <w:t xml:space="preserve">. </w:t>
      </w:r>
      <w:r w:rsidR="006A3FA1">
        <w:rPr>
          <w:color w:val="000000"/>
          <w:sz w:val="28"/>
          <w:szCs w:val="28"/>
          <w:lang w:val="en-US"/>
        </w:rPr>
        <w:t>Much prominence in</w:t>
      </w:r>
      <w:r w:rsidRPr="00E063B0">
        <w:rPr>
          <w:color w:val="000000"/>
          <w:sz w:val="28"/>
          <w:szCs w:val="28"/>
          <w:lang w:val="en-US"/>
        </w:rPr>
        <w:t xml:space="preserve"> AMF/CFT is </w:t>
      </w:r>
      <w:r w:rsidR="006A3FA1">
        <w:rPr>
          <w:color w:val="000000"/>
          <w:sz w:val="28"/>
          <w:szCs w:val="28"/>
          <w:lang w:val="en-US"/>
        </w:rPr>
        <w:t xml:space="preserve">given to </w:t>
      </w:r>
      <w:r w:rsidRPr="00E063B0">
        <w:rPr>
          <w:color w:val="000000"/>
          <w:sz w:val="28"/>
          <w:szCs w:val="28"/>
          <w:lang w:val="en-US"/>
        </w:rPr>
        <w:t>collecting data about suspicious transactions</w:t>
      </w:r>
      <w:r w:rsidR="004F5B5C" w:rsidRPr="00E063B0">
        <w:rPr>
          <w:color w:val="000000"/>
          <w:sz w:val="28"/>
          <w:szCs w:val="28"/>
          <w:lang w:val="en-US"/>
        </w:rPr>
        <w:t xml:space="preserve"> and clients by </w:t>
      </w:r>
      <w:r w:rsidR="006A3FA1">
        <w:rPr>
          <w:color w:val="000000"/>
          <w:sz w:val="28"/>
          <w:szCs w:val="28"/>
          <w:lang w:val="en-US"/>
        </w:rPr>
        <w:t xml:space="preserve">the </w:t>
      </w:r>
      <w:r w:rsidR="00E063B0" w:rsidRPr="00E063B0">
        <w:rPr>
          <w:color w:val="000000"/>
          <w:sz w:val="28"/>
          <w:szCs w:val="28"/>
          <w:lang w:val="en-US"/>
        </w:rPr>
        <w:t xml:space="preserve">Internal </w:t>
      </w:r>
      <w:r w:rsidR="004F5B5C" w:rsidRPr="00E063B0">
        <w:rPr>
          <w:color w:val="000000"/>
          <w:sz w:val="28"/>
          <w:szCs w:val="28"/>
          <w:lang w:val="en-US"/>
        </w:rPr>
        <w:t xml:space="preserve">Control Service </w:t>
      </w:r>
      <w:r w:rsidR="006A3FA1">
        <w:rPr>
          <w:color w:val="000000"/>
          <w:sz w:val="28"/>
          <w:szCs w:val="28"/>
          <w:lang w:val="en-US"/>
        </w:rPr>
        <w:t>in</w:t>
      </w:r>
      <w:r w:rsidR="004F5B5C" w:rsidRPr="00E063B0">
        <w:rPr>
          <w:color w:val="000000"/>
          <w:sz w:val="28"/>
          <w:szCs w:val="28"/>
          <w:lang w:val="en-US"/>
        </w:rPr>
        <w:t xml:space="preserve"> banks, insurance companies, securities market </w:t>
      </w:r>
      <w:r w:rsidR="00AD22F0" w:rsidRPr="00E063B0">
        <w:rPr>
          <w:color w:val="000000"/>
          <w:sz w:val="28"/>
          <w:szCs w:val="28"/>
          <w:lang w:val="en-US"/>
        </w:rPr>
        <w:t>participants</w:t>
      </w:r>
      <w:r w:rsidR="004F5B5C" w:rsidRPr="00E063B0">
        <w:rPr>
          <w:color w:val="000000"/>
          <w:sz w:val="28"/>
          <w:szCs w:val="28"/>
          <w:lang w:val="en-US"/>
        </w:rPr>
        <w:t xml:space="preserve"> and other </w:t>
      </w:r>
      <w:r w:rsidR="00AD22F0" w:rsidRPr="00E063B0">
        <w:rPr>
          <w:color w:val="000000"/>
          <w:sz w:val="28"/>
          <w:szCs w:val="28"/>
          <w:lang w:val="en-US"/>
        </w:rPr>
        <w:t>companies, which</w:t>
      </w:r>
      <w:r w:rsidR="004F5B5C" w:rsidRPr="00E063B0">
        <w:rPr>
          <w:color w:val="000000"/>
          <w:sz w:val="28"/>
          <w:szCs w:val="28"/>
          <w:lang w:val="en-US"/>
        </w:rPr>
        <w:t xml:space="preserve"> are accountable. </w:t>
      </w:r>
    </w:p>
    <w:p w14:paraId="1FC71A58" w14:textId="1259F3ED" w:rsidR="000E0D95" w:rsidRDefault="004F5B5C" w:rsidP="00507CC7">
      <w:pPr>
        <w:pStyle w:val="NormalWeb"/>
        <w:shd w:val="clear" w:color="auto" w:fill="FFFFFF"/>
        <w:tabs>
          <w:tab w:val="left" w:pos="1843"/>
        </w:tabs>
        <w:spacing w:after="0" w:line="360" w:lineRule="auto"/>
        <w:contextualSpacing/>
        <w:jc w:val="both"/>
        <w:rPr>
          <w:color w:val="000000"/>
          <w:sz w:val="28"/>
          <w:szCs w:val="28"/>
          <w:lang w:val="en-US"/>
        </w:rPr>
      </w:pPr>
      <w:r w:rsidRPr="004F5B5C">
        <w:rPr>
          <w:color w:val="000000"/>
          <w:sz w:val="28"/>
          <w:szCs w:val="28"/>
          <w:lang w:val="en-US"/>
        </w:rPr>
        <w:t xml:space="preserve">According to </w:t>
      </w:r>
      <w:r w:rsidR="006A3FA1">
        <w:rPr>
          <w:color w:val="000000"/>
          <w:sz w:val="28"/>
          <w:szCs w:val="28"/>
          <w:lang w:val="en-US"/>
        </w:rPr>
        <w:t xml:space="preserve">the </w:t>
      </w:r>
      <w:r w:rsidRPr="004F5B5C">
        <w:rPr>
          <w:color w:val="000000"/>
          <w:sz w:val="28"/>
          <w:szCs w:val="28"/>
          <w:lang w:val="en-US"/>
        </w:rPr>
        <w:t>cla</w:t>
      </w:r>
      <w:r>
        <w:rPr>
          <w:color w:val="000000"/>
          <w:sz w:val="28"/>
          <w:szCs w:val="28"/>
          <w:lang w:val="en-US"/>
        </w:rPr>
        <w:t>ssification suggested by V. Mel</w:t>
      </w:r>
      <w:r w:rsidRPr="004F5B5C">
        <w:rPr>
          <w:color w:val="000000"/>
          <w:sz w:val="28"/>
          <w:szCs w:val="28"/>
          <w:lang w:val="en-US"/>
        </w:rPr>
        <w:t xml:space="preserve">nikov and A. </w:t>
      </w:r>
      <w:r w:rsidR="003830EB">
        <w:rPr>
          <w:sz w:val="28"/>
          <w:szCs w:val="28"/>
          <w:lang w:val="en-US"/>
        </w:rPr>
        <w:t>Movesian</w:t>
      </w:r>
      <w:r w:rsidR="003830EB">
        <w:rPr>
          <w:color w:val="000000"/>
          <w:sz w:val="28"/>
          <w:szCs w:val="28"/>
          <w:lang w:val="en-US"/>
        </w:rPr>
        <w:t xml:space="preserve"> </w:t>
      </w:r>
      <w:r w:rsidR="00301C91">
        <w:rPr>
          <w:color w:val="000000"/>
          <w:sz w:val="28"/>
          <w:szCs w:val="28"/>
          <w:lang w:val="en-US"/>
        </w:rPr>
        <w:t>[1]</w:t>
      </w:r>
      <w:r w:rsidRPr="004F5B5C">
        <w:rPr>
          <w:color w:val="000000"/>
          <w:sz w:val="28"/>
          <w:szCs w:val="28"/>
          <w:lang w:val="en-US"/>
        </w:rPr>
        <w:t xml:space="preserve">, all countries can be </w:t>
      </w:r>
      <w:r w:rsidR="00AD22F0">
        <w:rPr>
          <w:color w:val="000000"/>
          <w:sz w:val="28"/>
          <w:szCs w:val="28"/>
          <w:lang w:val="en-US"/>
        </w:rPr>
        <w:t>divided</w:t>
      </w:r>
      <w:r w:rsidR="00E063B0">
        <w:rPr>
          <w:color w:val="000000"/>
          <w:sz w:val="28"/>
          <w:szCs w:val="28"/>
          <w:lang w:val="en-US"/>
        </w:rPr>
        <w:t xml:space="preserve"> by the level of AML/CFT</w:t>
      </w:r>
      <w:r w:rsidR="005B55FD">
        <w:rPr>
          <w:color w:val="000000"/>
          <w:sz w:val="28"/>
          <w:szCs w:val="28"/>
          <w:lang w:val="en-US"/>
        </w:rPr>
        <w:t xml:space="preserve"> into the following groups</w:t>
      </w:r>
      <w:r w:rsidR="00731CC8" w:rsidRPr="004F5B5C">
        <w:rPr>
          <w:color w:val="000000"/>
          <w:sz w:val="28"/>
          <w:szCs w:val="28"/>
          <w:lang w:val="en-US"/>
        </w:rPr>
        <w:t xml:space="preserve">: </w:t>
      </w:r>
    </w:p>
    <w:p w14:paraId="344A55E5" w14:textId="27818F2B" w:rsidR="000E0D95" w:rsidRDefault="004F5B5C" w:rsidP="00507CC7">
      <w:pPr>
        <w:pStyle w:val="NormalWeb"/>
        <w:numPr>
          <w:ilvl w:val="0"/>
          <w:numId w:val="20"/>
        </w:numPr>
        <w:shd w:val="clear" w:color="auto" w:fill="FFFFFF"/>
        <w:tabs>
          <w:tab w:val="left" w:pos="1843"/>
        </w:tabs>
        <w:spacing w:after="0" w:line="360" w:lineRule="auto"/>
        <w:ind w:left="709" w:hanging="283"/>
        <w:contextualSpacing/>
        <w:jc w:val="both"/>
        <w:rPr>
          <w:color w:val="000000"/>
          <w:sz w:val="28"/>
          <w:szCs w:val="28"/>
          <w:lang w:val="en-US"/>
        </w:rPr>
      </w:pPr>
      <w:r w:rsidRPr="004F5B5C">
        <w:rPr>
          <w:color w:val="000000"/>
          <w:sz w:val="28"/>
          <w:szCs w:val="28"/>
          <w:lang w:val="en-US"/>
        </w:rPr>
        <w:t xml:space="preserve">developed countries with low specific weight of informal economy, for example the USA; </w:t>
      </w:r>
    </w:p>
    <w:p w14:paraId="22CE0750" w14:textId="066D942E" w:rsidR="000E0D95" w:rsidRDefault="004F5B5C" w:rsidP="00507CC7">
      <w:pPr>
        <w:pStyle w:val="NormalWeb"/>
        <w:numPr>
          <w:ilvl w:val="0"/>
          <w:numId w:val="20"/>
        </w:numPr>
        <w:shd w:val="clear" w:color="auto" w:fill="FFFFFF"/>
        <w:tabs>
          <w:tab w:val="left" w:pos="1843"/>
        </w:tabs>
        <w:spacing w:after="0" w:line="360" w:lineRule="auto"/>
        <w:ind w:left="709" w:hanging="283"/>
        <w:contextualSpacing/>
        <w:jc w:val="both"/>
        <w:rPr>
          <w:color w:val="000000"/>
          <w:sz w:val="28"/>
          <w:szCs w:val="28"/>
          <w:lang w:val="en-US"/>
        </w:rPr>
      </w:pPr>
      <w:r w:rsidRPr="004F5B5C">
        <w:rPr>
          <w:color w:val="000000"/>
          <w:sz w:val="28"/>
          <w:szCs w:val="28"/>
          <w:lang w:val="en-US"/>
        </w:rPr>
        <w:t xml:space="preserve">developed countries with high specific weight of informal economy (Italy); </w:t>
      </w:r>
    </w:p>
    <w:p w14:paraId="54FB48BA" w14:textId="1FEF95A7" w:rsidR="000E0D95" w:rsidRDefault="004F5B5C" w:rsidP="00507CC7">
      <w:pPr>
        <w:pStyle w:val="NormalWeb"/>
        <w:numPr>
          <w:ilvl w:val="0"/>
          <w:numId w:val="20"/>
        </w:numPr>
        <w:shd w:val="clear" w:color="auto" w:fill="FFFFFF"/>
        <w:tabs>
          <w:tab w:val="left" w:pos="1843"/>
        </w:tabs>
        <w:spacing w:after="0" w:line="360" w:lineRule="auto"/>
        <w:ind w:left="709" w:hanging="283"/>
        <w:contextualSpacing/>
        <w:jc w:val="both"/>
        <w:rPr>
          <w:color w:val="000000"/>
          <w:sz w:val="28"/>
          <w:szCs w:val="28"/>
          <w:lang w:val="en-US"/>
        </w:rPr>
      </w:pPr>
      <w:r w:rsidRPr="004F5B5C">
        <w:rPr>
          <w:color w:val="000000"/>
          <w:sz w:val="28"/>
          <w:szCs w:val="28"/>
          <w:lang w:val="en-US"/>
        </w:rPr>
        <w:t xml:space="preserve">developing countries which have </w:t>
      </w:r>
      <w:r w:rsidR="006A3FA1">
        <w:rPr>
          <w:color w:val="000000"/>
          <w:sz w:val="28"/>
          <w:szCs w:val="28"/>
          <w:lang w:val="en-US"/>
        </w:rPr>
        <w:t xml:space="preserve">a </w:t>
      </w:r>
      <w:r w:rsidRPr="004F5B5C">
        <w:rPr>
          <w:color w:val="000000"/>
          <w:sz w:val="28"/>
          <w:szCs w:val="28"/>
          <w:lang w:val="en-US"/>
        </w:rPr>
        <w:t xml:space="preserve">small share of corruption and shadow economy; </w:t>
      </w:r>
    </w:p>
    <w:p w14:paraId="4721D80B" w14:textId="355AAE47" w:rsidR="000E0D95" w:rsidRDefault="004F5B5C" w:rsidP="00507CC7">
      <w:pPr>
        <w:pStyle w:val="NormalWeb"/>
        <w:numPr>
          <w:ilvl w:val="0"/>
          <w:numId w:val="20"/>
        </w:numPr>
        <w:shd w:val="clear" w:color="auto" w:fill="FFFFFF"/>
        <w:tabs>
          <w:tab w:val="left" w:pos="1843"/>
        </w:tabs>
        <w:spacing w:after="0" w:line="360" w:lineRule="auto"/>
        <w:ind w:left="709" w:hanging="283"/>
        <w:contextualSpacing/>
        <w:jc w:val="both"/>
        <w:rPr>
          <w:color w:val="000000"/>
          <w:sz w:val="28"/>
          <w:szCs w:val="28"/>
          <w:lang w:val="en-US"/>
        </w:rPr>
      </w:pPr>
      <w:r w:rsidRPr="004F5B5C">
        <w:rPr>
          <w:color w:val="000000"/>
          <w:sz w:val="28"/>
          <w:szCs w:val="28"/>
          <w:lang w:val="en-US"/>
        </w:rPr>
        <w:t xml:space="preserve">highly corrupted developing countries with shadow economy exceeding 25-30% of GDP; </w:t>
      </w:r>
    </w:p>
    <w:p w14:paraId="7869FAFB" w14:textId="72DCAEE9" w:rsidR="000E0D95" w:rsidRDefault="004F5B5C" w:rsidP="00507CC7">
      <w:pPr>
        <w:pStyle w:val="NormalWeb"/>
        <w:numPr>
          <w:ilvl w:val="0"/>
          <w:numId w:val="20"/>
        </w:numPr>
        <w:shd w:val="clear" w:color="auto" w:fill="FFFFFF"/>
        <w:tabs>
          <w:tab w:val="left" w:pos="1843"/>
        </w:tabs>
        <w:spacing w:after="0" w:line="360" w:lineRule="auto"/>
        <w:ind w:left="709" w:hanging="283"/>
        <w:contextualSpacing/>
        <w:jc w:val="both"/>
        <w:rPr>
          <w:color w:val="000000"/>
          <w:sz w:val="28"/>
          <w:szCs w:val="28"/>
          <w:lang w:val="en-US"/>
        </w:rPr>
      </w:pPr>
      <w:r w:rsidRPr="004F5B5C">
        <w:rPr>
          <w:color w:val="000000"/>
          <w:sz w:val="28"/>
          <w:szCs w:val="28"/>
          <w:lang w:val="en-US"/>
        </w:rPr>
        <w:t xml:space="preserve">economies in transition; </w:t>
      </w:r>
    </w:p>
    <w:p w14:paraId="14CE58FC" w14:textId="172F07AC" w:rsidR="004F5B5C" w:rsidRPr="004F5B5C" w:rsidRDefault="004F5B5C" w:rsidP="00507CC7">
      <w:pPr>
        <w:pStyle w:val="NormalWeb"/>
        <w:numPr>
          <w:ilvl w:val="0"/>
          <w:numId w:val="20"/>
        </w:numPr>
        <w:shd w:val="clear" w:color="auto" w:fill="FFFFFF"/>
        <w:tabs>
          <w:tab w:val="left" w:pos="1843"/>
        </w:tabs>
        <w:spacing w:after="0" w:line="360" w:lineRule="auto"/>
        <w:ind w:left="709" w:hanging="283"/>
        <w:contextualSpacing/>
        <w:jc w:val="both"/>
        <w:rPr>
          <w:color w:val="000000"/>
          <w:sz w:val="28"/>
          <w:szCs w:val="28"/>
          <w:lang w:val="en-US"/>
        </w:rPr>
      </w:pPr>
      <w:r w:rsidRPr="004F5B5C">
        <w:rPr>
          <w:color w:val="000000"/>
          <w:sz w:val="28"/>
          <w:szCs w:val="28"/>
          <w:lang w:val="en-US"/>
        </w:rPr>
        <w:t>offshore jurisdictions where suspicious transactions aimed at tax optimization are important in generating budgetary revenues.</w:t>
      </w:r>
    </w:p>
    <w:p w14:paraId="4B38814E" w14:textId="0459A322" w:rsidR="0002301A" w:rsidRPr="0002301A" w:rsidRDefault="004F5B5C" w:rsidP="0002164C">
      <w:pPr>
        <w:pStyle w:val="NormalWeb"/>
        <w:shd w:val="clear" w:color="auto" w:fill="FFFFFF"/>
        <w:tabs>
          <w:tab w:val="left" w:pos="1843"/>
        </w:tabs>
        <w:spacing w:after="0" w:afterAutospacing="0" w:line="360" w:lineRule="auto"/>
        <w:contextualSpacing/>
        <w:jc w:val="both"/>
        <w:rPr>
          <w:color w:val="000000"/>
          <w:sz w:val="28"/>
          <w:szCs w:val="28"/>
          <w:lang w:val="en-US"/>
        </w:rPr>
      </w:pPr>
      <w:r w:rsidRPr="004F5B5C">
        <w:rPr>
          <w:color w:val="000000"/>
          <w:sz w:val="28"/>
          <w:szCs w:val="28"/>
          <w:lang w:val="en-US"/>
        </w:rPr>
        <w:t>Financial monitoring in developing countries can be described by low quality of legal regulation of relations in the field of AMF/CFT; lack of financial institutions; weak governmental coercive measures (administrative and criminal penalties</w:t>
      </w:r>
      <w:r w:rsidR="006A3FA1">
        <w:rPr>
          <w:color w:val="000000"/>
          <w:sz w:val="28"/>
          <w:szCs w:val="28"/>
          <w:lang w:val="en-US"/>
        </w:rPr>
        <w:t>)</w:t>
      </w:r>
      <w:r w:rsidRPr="004F5B5C">
        <w:rPr>
          <w:color w:val="000000"/>
          <w:sz w:val="28"/>
          <w:szCs w:val="28"/>
          <w:lang w:val="en-US"/>
        </w:rPr>
        <w:t xml:space="preserve">. The main goal in the field of AML/CFT is </w:t>
      </w:r>
      <w:r w:rsidR="006A3FA1">
        <w:rPr>
          <w:color w:val="000000"/>
          <w:sz w:val="28"/>
          <w:szCs w:val="28"/>
          <w:lang w:val="en-US"/>
        </w:rPr>
        <w:t xml:space="preserve">to </w:t>
      </w:r>
      <w:r w:rsidRPr="004F5B5C">
        <w:rPr>
          <w:color w:val="000000"/>
          <w:sz w:val="28"/>
          <w:szCs w:val="28"/>
          <w:lang w:val="en-US"/>
        </w:rPr>
        <w:t>achiev</w:t>
      </w:r>
      <w:r w:rsidR="006A3FA1">
        <w:rPr>
          <w:color w:val="000000"/>
          <w:sz w:val="28"/>
          <w:szCs w:val="28"/>
          <w:lang w:val="en-US"/>
        </w:rPr>
        <w:t>e</w:t>
      </w:r>
      <w:r w:rsidRPr="004F5B5C">
        <w:rPr>
          <w:color w:val="000000"/>
          <w:sz w:val="28"/>
          <w:szCs w:val="28"/>
          <w:lang w:val="en-US"/>
        </w:rPr>
        <w:t xml:space="preserve"> an effective legal base for financial monitoring. </w:t>
      </w:r>
      <w:r w:rsidRPr="0002301A">
        <w:rPr>
          <w:color w:val="000000"/>
          <w:sz w:val="28"/>
          <w:szCs w:val="28"/>
          <w:lang w:val="en-US"/>
        </w:rPr>
        <w:t>Meanwhile, in developed countries the main goal is to improv</w:t>
      </w:r>
      <w:r w:rsidR="0002164C">
        <w:rPr>
          <w:color w:val="000000"/>
          <w:sz w:val="28"/>
          <w:szCs w:val="28"/>
          <w:lang w:val="en-US"/>
        </w:rPr>
        <w:t>e</w:t>
      </w:r>
      <w:r w:rsidRPr="0002301A">
        <w:rPr>
          <w:color w:val="000000"/>
          <w:sz w:val="28"/>
          <w:szCs w:val="28"/>
          <w:lang w:val="en-US"/>
        </w:rPr>
        <w:t xml:space="preserve"> </w:t>
      </w:r>
      <w:r w:rsidR="0002164C">
        <w:rPr>
          <w:color w:val="000000"/>
          <w:sz w:val="28"/>
          <w:szCs w:val="28"/>
          <w:lang w:val="en-US"/>
        </w:rPr>
        <w:t xml:space="preserve">the </w:t>
      </w:r>
      <w:r w:rsidRPr="0002301A">
        <w:rPr>
          <w:color w:val="000000"/>
          <w:sz w:val="28"/>
          <w:szCs w:val="28"/>
          <w:lang w:val="en-US"/>
        </w:rPr>
        <w:t xml:space="preserve">legislation </w:t>
      </w:r>
      <w:r w:rsidR="0002164C">
        <w:rPr>
          <w:color w:val="000000"/>
          <w:sz w:val="28"/>
          <w:szCs w:val="28"/>
          <w:lang w:val="en-US"/>
        </w:rPr>
        <w:t xml:space="preserve">that is </w:t>
      </w:r>
      <w:r w:rsidR="0002164C" w:rsidRPr="0002301A">
        <w:rPr>
          <w:color w:val="000000"/>
          <w:sz w:val="28"/>
          <w:szCs w:val="28"/>
          <w:lang w:val="en-US"/>
        </w:rPr>
        <w:t>already implemented</w:t>
      </w:r>
      <w:r w:rsidR="0002164C" w:rsidRPr="0002301A">
        <w:rPr>
          <w:color w:val="000000"/>
          <w:sz w:val="28"/>
          <w:szCs w:val="28"/>
          <w:lang w:val="en-US"/>
        </w:rPr>
        <w:t xml:space="preserve"> </w:t>
      </w:r>
      <w:r w:rsidRPr="0002301A">
        <w:rPr>
          <w:color w:val="000000"/>
          <w:sz w:val="28"/>
          <w:szCs w:val="28"/>
          <w:lang w:val="en-US"/>
        </w:rPr>
        <w:t>in order to withstand new threats emerging from international crime.</w:t>
      </w:r>
      <w:r w:rsidR="0002301A" w:rsidRPr="0002301A">
        <w:rPr>
          <w:color w:val="000000"/>
          <w:sz w:val="28"/>
          <w:szCs w:val="28"/>
          <w:lang w:val="en-US"/>
        </w:rPr>
        <w:t xml:space="preserve"> However, reasons of anti-money laundering and combating the financing of terrorism for all types of economic systems are the same: corruption in state organizations; lack of control over the us</w:t>
      </w:r>
      <w:r w:rsidR="0002164C">
        <w:rPr>
          <w:color w:val="000000"/>
          <w:sz w:val="28"/>
          <w:szCs w:val="28"/>
          <w:lang w:val="en-US"/>
        </w:rPr>
        <w:t>e</w:t>
      </w:r>
      <w:r w:rsidR="0002301A" w:rsidRPr="0002301A">
        <w:rPr>
          <w:color w:val="000000"/>
          <w:sz w:val="28"/>
          <w:szCs w:val="28"/>
          <w:lang w:val="en-US"/>
        </w:rPr>
        <w:t xml:space="preserve"> of offshore jurisdictions by companies</w:t>
      </w:r>
      <w:r w:rsidR="0002164C">
        <w:rPr>
          <w:color w:val="000000"/>
          <w:sz w:val="28"/>
          <w:szCs w:val="28"/>
          <w:lang w:val="en-US"/>
        </w:rPr>
        <w:t>,</w:t>
      </w:r>
      <w:r w:rsidR="0002301A" w:rsidRPr="0002301A">
        <w:rPr>
          <w:color w:val="000000"/>
          <w:sz w:val="28"/>
          <w:szCs w:val="28"/>
          <w:lang w:val="en-US"/>
        </w:rPr>
        <w:t xml:space="preserve"> and making payments that provide anonymity or make difficult</w:t>
      </w:r>
      <w:r w:rsidR="0002301A">
        <w:rPr>
          <w:color w:val="000000"/>
          <w:sz w:val="28"/>
          <w:szCs w:val="28"/>
          <w:lang w:val="en-US"/>
        </w:rPr>
        <w:t>ies in</w:t>
      </w:r>
      <w:r w:rsidR="0002301A" w:rsidRPr="0002301A">
        <w:rPr>
          <w:color w:val="000000"/>
          <w:sz w:val="28"/>
          <w:szCs w:val="28"/>
          <w:lang w:val="en-US"/>
        </w:rPr>
        <w:t xml:space="preserve"> identify</w:t>
      </w:r>
      <w:r w:rsidR="0002301A">
        <w:rPr>
          <w:color w:val="000000"/>
          <w:sz w:val="28"/>
          <w:szCs w:val="28"/>
          <w:lang w:val="en-US"/>
        </w:rPr>
        <w:t xml:space="preserve">ing </w:t>
      </w:r>
      <w:r w:rsidR="0002301A" w:rsidRPr="0002301A">
        <w:rPr>
          <w:color w:val="000000"/>
          <w:sz w:val="28"/>
          <w:szCs w:val="28"/>
          <w:lang w:val="en-US"/>
        </w:rPr>
        <w:t xml:space="preserve">the participant in the operation; </w:t>
      </w:r>
      <w:r w:rsidR="000E0D95">
        <w:rPr>
          <w:color w:val="000000"/>
          <w:sz w:val="28"/>
          <w:szCs w:val="28"/>
          <w:lang w:val="en-US"/>
        </w:rPr>
        <w:t>applying</w:t>
      </w:r>
      <w:r w:rsidR="0002301A" w:rsidRPr="0002301A">
        <w:rPr>
          <w:color w:val="000000"/>
          <w:sz w:val="28"/>
          <w:szCs w:val="28"/>
          <w:lang w:val="en-US"/>
        </w:rPr>
        <w:t xml:space="preserve"> the system of international transfers of financial resources; imperfection of financial and economic </w:t>
      </w:r>
      <w:r w:rsidR="000E0D95" w:rsidRPr="0002301A">
        <w:rPr>
          <w:color w:val="000000"/>
          <w:sz w:val="28"/>
          <w:szCs w:val="28"/>
          <w:lang w:val="en-US"/>
        </w:rPr>
        <w:t xml:space="preserve">mechanisms </w:t>
      </w:r>
      <w:r w:rsidR="0002301A" w:rsidRPr="0002301A">
        <w:rPr>
          <w:color w:val="000000"/>
          <w:sz w:val="28"/>
          <w:szCs w:val="28"/>
          <w:lang w:val="en-US"/>
        </w:rPr>
        <w:lastRenderedPageBreak/>
        <w:t xml:space="preserve">activity </w:t>
      </w:r>
      <w:r w:rsidR="000E0D95">
        <w:rPr>
          <w:color w:val="000000"/>
          <w:sz w:val="28"/>
          <w:szCs w:val="28"/>
          <w:lang w:val="en-US"/>
        </w:rPr>
        <w:t>that</w:t>
      </w:r>
      <w:r w:rsidR="0002301A" w:rsidRPr="0002301A">
        <w:rPr>
          <w:color w:val="000000"/>
          <w:sz w:val="28"/>
          <w:szCs w:val="28"/>
          <w:lang w:val="en-US"/>
        </w:rPr>
        <w:t xml:space="preserve"> create</w:t>
      </w:r>
      <w:r w:rsidR="000E0D95">
        <w:rPr>
          <w:color w:val="000000"/>
          <w:sz w:val="28"/>
          <w:szCs w:val="28"/>
          <w:lang w:val="en-US"/>
        </w:rPr>
        <w:t>s</w:t>
      </w:r>
      <w:r w:rsidR="0002301A" w:rsidRPr="0002301A">
        <w:rPr>
          <w:color w:val="000000"/>
          <w:sz w:val="28"/>
          <w:szCs w:val="28"/>
          <w:lang w:val="en-US"/>
        </w:rPr>
        <w:t xml:space="preserve"> the possibility of illegal withdrawal of funds; significant amount of cash in the company's turnover.</w:t>
      </w:r>
    </w:p>
    <w:p w14:paraId="51C56B4C" w14:textId="08C91C2B" w:rsidR="00CC722B" w:rsidRPr="00E063B0" w:rsidRDefault="00E063B0" w:rsidP="00D66F43">
      <w:pPr>
        <w:tabs>
          <w:tab w:val="left" w:pos="1843"/>
        </w:tabs>
        <w:spacing w:line="360" w:lineRule="auto"/>
        <w:contextualSpacing/>
        <w:jc w:val="both"/>
        <w:rPr>
          <w:rFonts w:ascii="Times New Roman" w:hAnsi="Times New Roman" w:cs="Times New Roman"/>
          <w:sz w:val="28"/>
          <w:szCs w:val="28"/>
          <w:lang w:val="en-US"/>
        </w:rPr>
      </w:pPr>
      <w:r w:rsidRPr="00E063B0">
        <w:rPr>
          <w:rFonts w:ascii="Times New Roman" w:hAnsi="Times New Roman" w:cs="Times New Roman"/>
          <w:sz w:val="28"/>
          <w:szCs w:val="28"/>
          <w:lang w:val="en-US"/>
        </w:rPr>
        <w:t xml:space="preserve">The framework for implementing AML/CFT in a business entity is the functional component of </w:t>
      </w:r>
      <w:r w:rsidR="00D66F43">
        <w:rPr>
          <w:rFonts w:ascii="Times New Roman" w:hAnsi="Times New Roman" w:cs="Times New Roman"/>
          <w:sz w:val="28"/>
          <w:szCs w:val="28"/>
          <w:lang w:val="en-US"/>
        </w:rPr>
        <w:t xml:space="preserve">the </w:t>
      </w:r>
      <w:r w:rsidRPr="00E063B0">
        <w:rPr>
          <w:rFonts w:ascii="Times New Roman" w:hAnsi="Times New Roman" w:cs="Times New Roman"/>
          <w:sz w:val="28"/>
          <w:szCs w:val="28"/>
          <w:lang w:val="en-US"/>
        </w:rPr>
        <w:t>national system of financial mon</w:t>
      </w:r>
      <w:r>
        <w:rPr>
          <w:rFonts w:ascii="Times New Roman" w:hAnsi="Times New Roman" w:cs="Times New Roman"/>
          <w:sz w:val="28"/>
          <w:szCs w:val="28"/>
          <w:lang w:val="en-US"/>
        </w:rPr>
        <w:t xml:space="preserve">itoring (presented </w:t>
      </w:r>
      <w:r w:rsidR="00D66F43">
        <w:rPr>
          <w:rFonts w:ascii="Times New Roman" w:hAnsi="Times New Roman" w:cs="Times New Roman"/>
          <w:sz w:val="28"/>
          <w:szCs w:val="28"/>
          <w:lang w:val="en-US"/>
        </w:rPr>
        <w:t>in</w:t>
      </w:r>
      <w:r>
        <w:rPr>
          <w:rFonts w:ascii="Times New Roman" w:hAnsi="Times New Roman" w:cs="Times New Roman"/>
          <w:sz w:val="28"/>
          <w:szCs w:val="28"/>
          <w:lang w:val="en-US"/>
        </w:rPr>
        <w:t xml:space="preserve"> Table 1).</w:t>
      </w:r>
      <w:r w:rsidR="00CC722B" w:rsidRPr="00E063B0">
        <w:rPr>
          <w:rFonts w:ascii="Times New Roman" w:hAnsi="Times New Roman" w:cs="Times New Roman"/>
          <w:sz w:val="28"/>
          <w:szCs w:val="28"/>
          <w:lang w:val="en-US"/>
        </w:rPr>
        <w:t xml:space="preserve"> </w:t>
      </w:r>
    </w:p>
    <w:p w14:paraId="1DB213E9" w14:textId="264A4842" w:rsidR="00512688" w:rsidRPr="00E063B0" w:rsidRDefault="00E063B0" w:rsidP="00512688">
      <w:pPr>
        <w:pStyle w:val="Caption"/>
        <w:keepNext/>
        <w:jc w:val="center"/>
        <w:rPr>
          <w:rFonts w:ascii="Times New Roman" w:hAnsi="Times New Roman" w:cs="Times New Roman"/>
          <w:i w:val="0"/>
          <w:color w:val="auto"/>
          <w:sz w:val="20"/>
          <w:lang w:val="en-US"/>
        </w:rPr>
      </w:pPr>
      <w:r>
        <w:rPr>
          <w:rFonts w:ascii="Times New Roman" w:hAnsi="Times New Roman" w:cs="Times New Roman"/>
          <w:i w:val="0"/>
          <w:color w:val="auto"/>
          <w:sz w:val="20"/>
          <w:lang w:val="en-US"/>
        </w:rPr>
        <w:t>Table</w:t>
      </w:r>
      <w:r w:rsidR="00512688" w:rsidRPr="00E063B0">
        <w:rPr>
          <w:rFonts w:ascii="Times New Roman" w:hAnsi="Times New Roman" w:cs="Times New Roman"/>
          <w:i w:val="0"/>
          <w:color w:val="auto"/>
          <w:sz w:val="20"/>
          <w:lang w:val="en-US"/>
        </w:rPr>
        <w:t xml:space="preserve"> </w:t>
      </w:r>
      <w:r w:rsidR="00B52F90" w:rsidRPr="00512688">
        <w:rPr>
          <w:rFonts w:ascii="Times New Roman" w:hAnsi="Times New Roman" w:cs="Times New Roman"/>
          <w:i w:val="0"/>
          <w:color w:val="auto"/>
          <w:sz w:val="20"/>
        </w:rPr>
        <w:fldChar w:fldCharType="begin"/>
      </w:r>
      <w:r w:rsidR="00512688" w:rsidRPr="00E063B0">
        <w:rPr>
          <w:rFonts w:ascii="Times New Roman" w:hAnsi="Times New Roman" w:cs="Times New Roman"/>
          <w:i w:val="0"/>
          <w:color w:val="auto"/>
          <w:sz w:val="20"/>
          <w:lang w:val="en-US"/>
        </w:rPr>
        <w:instrText xml:space="preserve"> SEQ </w:instrText>
      </w:r>
      <w:r w:rsidR="00512688" w:rsidRPr="00512688">
        <w:rPr>
          <w:rFonts w:ascii="Times New Roman" w:hAnsi="Times New Roman" w:cs="Times New Roman"/>
          <w:i w:val="0"/>
          <w:color w:val="auto"/>
          <w:sz w:val="20"/>
        </w:rPr>
        <w:instrText>Таблица</w:instrText>
      </w:r>
      <w:r w:rsidR="00512688" w:rsidRPr="00E063B0">
        <w:rPr>
          <w:rFonts w:ascii="Times New Roman" w:hAnsi="Times New Roman" w:cs="Times New Roman"/>
          <w:i w:val="0"/>
          <w:color w:val="auto"/>
          <w:sz w:val="20"/>
          <w:lang w:val="en-US"/>
        </w:rPr>
        <w:instrText xml:space="preserve"> \* ARABIC </w:instrText>
      </w:r>
      <w:r w:rsidR="00B52F90" w:rsidRPr="00512688">
        <w:rPr>
          <w:rFonts w:ascii="Times New Roman" w:hAnsi="Times New Roman" w:cs="Times New Roman"/>
          <w:i w:val="0"/>
          <w:color w:val="auto"/>
          <w:sz w:val="20"/>
        </w:rPr>
        <w:fldChar w:fldCharType="separate"/>
      </w:r>
      <w:r w:rsidR="00512688" w:rsidRPr="00E063B0">
        <w:rPr>
          <w:rFonts w:ascii="Times New Roman" w:hAnsi="Times New Roman" w:cs="Times New Roman"/>
          <w:i w:val="0"/>
          <w:noProof/>
          <w:color w:val="auto"/>
          <w:sz w:val="20"/>
          <w:lang w:val="en-US"/>
        </w:rPr>
        <w:t>1</w:t>
      </w:r>
      <w:r w:rsidR="00B52F90" w:rsidRPr="00512688">
        <w:rPr>
          <w:rFonts w:ascii="Times New Roman" w:hAnsi="Times New Roman" w:cs="Times New Roman"/>
          <w:i w:val="0"/>
          <w:color w:val="auto"/>
          <w:sz w:val="20"/>
        </w:rPr>
        <w:fldChar w:fldCharType="end"/>
      </w:r>
      <w:r w:rsidR="00507CC7" w:rsidRPr="00507CC7">
        <w:rPr>
          <w:rFonts w:ascii="Times New Roman" w:hAnsi="Times New Roman" w:cs="Times New Roman"/>
          <w:i w:val="0"/>
          <w:color w:val="auto"/>
          <w:sz w:val="20"/>
          <w:lang w:val="en-US"/>
        </w:rPr>
        <w:t xml:space="preserve"> </w:t>
      </w:r>
      <w:r w:rsidR="00507CC7" w:rsidRPr="00507CC7">
        <w:rPr>
          <w:rFonts w:ascii="Times New Roman" w:hAnsi="Times New Roman" w:cs="Times New Roman"/>
          <w:sz w:val="20"/>
          <w:szCs w:val="20"/>
          <w:lang w:val="en-US"/>
        </w:rPr>
        <w:t xml:space="preserve">— </w:t>
      </w:r>
      <w:r w:rsidR="00512688" w:rsidRPr="00E063B0">
        <w:rPr>
          <w:rFonts w:ascii="Times New Roman" w:hAnsi="Times New Roman" w:cs="Times New Roman"/>
          <w:i w:val="0"/>
          <w:color w:val="auto"/>
          <w:sz w:val="20"/>
          <w:lang w:val="en-US"/>
        </w:rPr>
        <w:t xml:space="preserve"> </w:t>
      </w:r>
      <w:r>
        <w:rPr>
          <w:rFonts w:ascii="Times New Roman" w:hAnsi="Times New Roman" w:cs="Times New Roman"/>
          <w:i w:val="0"/>
          <w:color w:val="auto"/>
          <w:sz w:val="20"/>
          <w:lang w:val="en-US"/>
        </w:rPr>
        <w:t>F</w:t>
      </w:r>
      <w:r w:rsidRPr="00E063B0">
        <w:rPr>
          <w:rFonts w:ascii="Times New Roman" w:hAnsi="Times New Roman" w:cs="Times New Roman"/>
          <w:i w:val="0"/>
          <w:color w:val="auto"/>
          <w:sz w:val="20"/>
          <w:lang w:val="en-US"/>
        </w:rPr>
        <w:t xml:space="preserve">unctional component of </w:t>
      </w:r>
      <w:r w:rsidR="00D66F43">
        <w:rPr>
          <w:rFonts w:ascii="Times New Roman" w:hAnsi="Times New Roman" w:cs="Times New Roman"/>
          <w:i w:val="0"/>
          <w:color w:val="auto"/>
          <w:sz w:val="20"/>
          <w:lang w:val="en-US"/>
        </w:rPr>
        <w:t xml:space="preserve">the </w:t>
      </w:r>
      <w:r w:rsidRPr="00E063B0">
        <w:rPr>
          <w:rFonts w:ascii="Times New Roman" w:hAnsi="Times New Roman" w:cs="Times New Roman"/>
          <w:i w:val="0"/>
          <w:color w:val="auto"/>
          <w:sz w:val="20"/>
          <w:lang w:val="en-US"/>
        </w:rPr>
        <w:t>national system of financial monitoring</w:t>
      </w:r>
    </w:p>
    <w:tbl>
      <w:tblPr>
        <w:tblStyle w:val="TableGrid"/>
        <w:tblW w:w="0" w:type="auto"/>
        <w:jc w:val="center"/>
        <w:tblCellMar>
          <w:left w:w="28" w:type="dxa"/>
          <w:right w:w="57" w:type="dxa"/>
        </w:tblCellMar>
        <w:tblLook w:val="04A0" w:firstRow="1" w:lastRow="0" w:firstColumn="1" w:lastColumn="0" w:noHBand="0" w:noVBand="1"/>
      </w:tblPr>
      <w:tblGrid>
        <w:gridCol w:w="391"/>
        <w:gridCol w:w="2232"/>
        <w:gridCol w:w="2964"/>
        <w:gridCol w:w="2587"/>
        <w:gridCol w:w="1549"/>
      </w:tblGrid>
      <w:tr w:rsidR="00801302" w:rsidRPr="00512688" w14:paraId="6949262A" w14:textId="77777777" w:rsidTr="00206D8C">
        <w:trPr>
          <w:jc w:val="center"/>
        </w:trPr>
        <w:tc>
          <w:tcPr>
            <w:tcW w:w="355" w:type="dxa"/>
          </w:tcPr>
          <w:p w14:paraId="53B28831" w14:textId="77777777" w:rsidR="00801302" w:rsidRDefault="00E063B0" w:rsidP="009C1B95">
            <w:pPr>
              <w:tabs>
                <w:tab w:val="left" w:pos="1843"/>
              </w:tabs>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 sec.</w:t>
            </w:r>
          </w:p>
        </w:tc>
        <w:tc>
          <w:tcPr>
            <w:tcW w:w="2240" w:type="dxa"/>
            <w:vAlign w:val="center"/>
          </w:tcPr>
          <w:p w14:paraId="031FA2A3" w14:textId="77777777" w:rsidR="00801302" w:rsidRPr="00512688" w:rsidRDefault="00E063B0" w:rsidP="009C1B95">
            <w:pPr>
              <w:tabs>
                <w:tab w:val="left" w:pos="1843"/>
              </w:tabs>
              <w:spacing w:line="276" w:lineRule="auto"/>
              <w:contextualSpacing/>
              <w:jc w:val="center"/>
              <w:rPr>
                <w:rFonts w:ascii="Times New Roman" w:hAnsi="Times New Roman" w:cs="Times New Roman"/>
                <w:sz w:val="20"/>
                <w:szCs w:val="20"/>
              </w:rPr>
            </w:pPr>
            <w:r w:rsidRPr="00E063B0">
              <w:rPr>
                <w:rFonts w:ascii="Times New Roman" w:hAnsi="Times New Roman" w:cs="Times New Roman"/>
                <w:sz w:val="20"/>
                <w:szCs w:val="20"/>
              </w:rPr>
              <w:t>Legal procedure</w:t>
            </w:r>
          </w:p>
        </w:tc>
        <w:tc>
          <w:tcPr>
            <w:tcW w:w="2977" w:type="dxa"/>
            <w:vAlign w:val="center"/>
          </w:tcPr>
          <w:p w14:paraId="6FAEEABA" w14:textId="77777777" w:rsidR="00801302" w:rsidRPr="00512688" w:rsidRDefault="00E063B0" w:rsidP="009C1B95">
            <w:pPr>
              <w:tabs>
                <w:tab w:val="left" w:pos="1843"/>
              </w:tabs>
              <w:spacing w:line="276" w:lineRule="auto"/>
              <w:contextualSpacing/>
              <w:jc w:val="center"/>
              <w:rPr>
                <w:rFonts w:ascii="Times New Roman" w:hAnsi="Times New Roman" w:cs="Times New Roman"/>
                <w:sz w:val="20"/>
                <w:szCs w:val="20"/>
              </w:rPr>
            </w:pPr>
            <w:r w:rsidRPr="00E063B0">
              <w:rPr>
                <w:rFonts w:ascii="Times New Roman" w:hAnsi="Times New Roman" w:cs="Times New Roman"/>
                <w:sz w:val="20"/>
                <w:szCs w:val="20"/>
              </w:rPr>
              <w:t>Approaches to realization</w:t>
            </w:r>
          </w:p>
        </w:tc>
        <w:tc>
          <w:tcPr>
            <w:tcW w:w="2598" w:type="dxa"/>
            <w:vAlign w:val="center"/>
          </w:tcPr>
          <w:p w14:paraId="246FE586" w14:textId="77777777" w:rsidR="00801302" w:rsidRPr="00512688" w:rsidRDefault="00E063B0" w:rsidP="009C1B95">
            <w:pPr>
              <w:tabs>
                <w:tab w:val="left" w:pos="1843"/>
              </w:tabs>
              <w:spacing w:line="276" w:lineRule="auto"/>
              <w:contextualSpacing/>
              <w:jc w:val="center"/>
              <w:rPr>
                <w:rFonts w:ascii="Times New Roman" w:hAnsi="Times New Roman" w:cs="Times New Roman"/>
                <w:sz w:val="20"/>
                <w:szCs w:val="20"/>
              </w:rPr>
            </w:pPr>
            <w:r w:rsidRPr="00E063B0">
              <w:rPr>
                <w:rFonts w:ascii="Times New Roman" w:hAnsi="Times New Roman" w:cs="Times New Roman"/>
                <w:sz w:val="20"/>
                <w:szCs w:val="20"/>
              </w:rPr>
              <w:t>Examples</w:t>
            </w:r>
          </w:p>
        </w:tc>
        <w:tc>
          <w:tcPr>
            <w:tcW w:w="1553" w:type="dxa"/>
            <w:vAlign w:val="center"/>
          </w:tcPr>
          <w:p w14:paraId="73C50B23" w14:textId="77777777" w:rsidR="00801302" w:rsidRPr="00512688" w:rsidRDefault="00E063B0" w:rsidP="009C1B95">
            <w:pPr>
              <w:tabs>
                <w:tab w:val="left" w:pos="1843"/>
              </w:tabs>
              <w:spacing w:line="276" w:lineRule="auto"/>
              <w:contextualSpacing/>
              <w:jc w:val="center"/>
              <w:rPr>
                <w:rFonts w:ascii="Times New Roman" w:hAnsi="Times New Roman" w:cs="Times New Roman"/>
                <w:sz w:val="20"/>
                <w:szCs w:val="20"/>
              </w:rPr>
            </w:pPr>
            <w:r w:rsidRPr="00E063B0">
              <w:rPr>
                <w:rFonts w:ascii="Times New Roman" w:hAnsi="Times New Roman" w:cs="Times New Roman"/>
                <w:sz w:val="20"/>
                <w:szCs w:val="20"/>
              </w:rPr>
              <w:t>Legal framework</w:t>
            </w:r>
          </w:p>
        </w:tc>
      </w:tr>
      <w:tr w:rsidR="00801302" w:rsidRPr="00512688" w14:paraId="498BB150" w14:textId="77777777" w:rsidTr="00206D8C">
        <w:trPr>
          <w:jc w:val="center"/>
        </w:trPr>
        <w:tc>
          <w:tcPr>
            <w:tcW w:w="355" w:type="dxa"/>
            <w:vAlign w:val="center"/>
          </w:tcPr>
          <w:p w14:paraId="3649FB31" w14:textId="77777777" w:rsidR="00801302" w:rsidRPr="00512688" w:rsidRDefault="00801302" w:rsidP="009C1B95">
            <w:pPr>
              <w:tabs>
                <w:tab w:val="left" w:pos="1843"/>
              </w:tabs>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2240" w:type="dxa"/>
            <w:vAlign w:val="center"/>
          </w:tcPr>
          <w:p w14:paraId="4F3649C9" w14:textId="77777777" w:rsidR="00801302" w:rsidRPr="00512688" w:rsidRDefault="00E063B0" w:rsidP="009C1B95">
            <w:pPr>
              <w:tabs>
                <w:tab w:val="left" w:pos="1843"/>
              </w:tabs>
              <w:spacing w:line="276" w:lineRule="auto"/>
              <w:contextualSpacing/>
              <w:jc w:val="center"/>
              <w:rPr>
                <w:rFonts w:ascii="Times New Roman" w:hAnsi="Times New Roman" w:cs="Times New Roman"/>
                <w:sz w:val="20"/>
                <w:szCs w:val="20"/>
              </w:rPr>
            </w:pPr>
            <w:r w:rsidRPr="00E063B0">
              <w:rPr>
                <w:rFonts w:ascii="Times New Roman" w:hAnsi="Times New Roman" w:cs="Times New Roman"/>
                <w:sz w:val="20"/>
                <w:szCs w:val="20"/>
              </w:rPr>
              <w:t>Client identification</w:t>
            </w:r>
          </w:p>
        </w:tc>
        <w:tc>
          <w:tcPr>
            <w:tcW w:w="2977" w:type="dxa"/>
            <w:vAlign w:val="center"/>
          </w:tcPr>
          <w:p w14:paraId="70B98CB1" w14:textId="77777777" w:rsidR="00801302" w:rsidRPr="00E063B0" w:rsidRDefault="00E063B0" w:rsidP="00D23A30">
            <w:pPr>
              <w:pStyle w:val="ListParagraph"/>
              <w:numPr>
                <w:ilvl w:val="0"/>
                <w:numId w:val="1"/>
              </w:numPr>
              <w:spacing w:line="276" w:lineRule="auto"/>
              <w:ind w:left="235" w:right="-10" w:hanging="235"/>
              <w:jc w:val="center"/>
              <w:rPr>
                <w:rFonts w:ascii="Times New Roman" w:hAnsi="Times New Roman" w:cs="Times New Roman"/>
                <w:sz w:val="20"/>
                <w:szCs w:val="20"/>
                <w:lang w:val="en-US"/>
              </w:rPr>
            </w:pPr>
            <w:r w:rsidRPr="00E063B0">
              <w:rPr>
                <w:rFonts w:ascii="Times New Roman" w:hAnsi="Times New Roman" w:cs="Times New Roman"/>
                <w:sz w:val="20"/>
                <w:szCs w:val="20"/>
                <w:lang w:val="en-US"/>
              </w:rPr>
              <w:t>Identification of individuals and legal entities that perform an operation concerning a certain kind of asset or worth a certain sum</w:t>
            </w:r>
            <w:r w:rsidR="00801302" w:rsidRPr="00E063B0">
              <w:rPr>
                <w:rFonts w:ascii="Times New Roman" w:hAnsi="Times New Roman" w:cs="Times New Roman"/>
                <w:sz w:val="20"/>
                <w:szCs w:val="20"/>
                <w:lang w:val="en-US"/>
              </w:rPr>
              <w:t>;</w:t>
            </w:r>
          </w:p>
          <w:p w14:paraId="195758FD" w14:textId="77777777" w:rsidR="00801302" w:rsidRPr="00E063B0" w:rsidRDefault="00E063B0" w:rsidP="00D23A30">
            <w:pPr>
              <w:pStyle w:val="ListParagraph"/>
              <w:numPr>
                <w:ilvl w:val="0"/>
                <w:numId w:val="1"/>
              </w:numPr>
              <w:spacing w:line="276" w:lineRule="auto"/>
              <w:ind w:left="235" w:right="-10" w:hanging="235"/>
              <w:jc w:val="center"/>
              <w:rPr>
                <w:rFonts w:ascii="Times New Roman" w:hAnsi="Times New Roman" w:cs="Times New Roman"/>
                <w:sz w:val="20"/>
                <w:szCs w:val="20"/>
                <w:lang w:val="en-US"/>
              </w:rPr>
            </w:pPr>
            <w:r w:rsidRPr="00E063B0">
              <w:rPr>
                <w:rFonts w:ascii="Times New Roman" w:hAnsi="Times New Roman" w:cs="Times New Roman"/>
                <w:sz w:val="20"/>
                <w:szCs w:val="20"/>
                <w:lang w:val="en-US"/>
              </w:rPr>
              <w:t>Identification of clients that perform any operation</w:t>
            </w:r>
            <w:r w:rsidR="00801302" w:rsidRPr="00E063B0">
              <w:rPr>
                <w:rFonts w:ascii="Times New Roman" w:hAnsi="Times New Roman" w:cs="Times New Roman"/>
                <w:sz w:val="20"/>
                <w:szCs w:val="20"/>
                <w:lang w:val="en-US"/>
              </w:rPr>
              <w:t>.</w:t>
            </w:r>
          </w:p>
        </w:tc>
        <w:tc>
          <w:tcPr>
            <w:tcW w:w="2598" w:type="dxa"/>
            <w:vAlign w:val="center"/>
          </w:tcPr>
          <w:p w14:paraId="46FDB0F6" w14:textId="71B1FBB9" w:rsidR="00801302" w:rsidRPr="00E063B0" w:rsidRDefault="00E063B0" w:rsidP="00D23A30">
            <w:pPr>
              <w:pStyle w:val="ListParagraph"/>
              <w:numPr>
                <w:ilvl w:val="0"/>
                <w:numId w:val="2"/>
              </w:numPr>
              <w:tabs>
                <w:tab w:val="left" w:pos="209"/>
              </w:tabs>
              <w:spacing w:line="276" w:lineRule="auto"/>
              <w:ind w:left="235" w:right="-87" w:hanging="235"/>
              <w:jc w:val="center"/>
              <w:rPr>
                <w:rFonts w:ascii="Times New Roman" w:hAnsi="Times New Roman" w:cs="Times New Roman"/>
                <w:sz w:val="20"/>
                <w:szCs w:val="20"/>
                <w:lang w:val="en-US"/>
              </w:rPr>
            </w:pPr>
            <w:r w:rsidRPr="00E063B0">
              <w:rPr>
                <w:rFonts w:ascii="Times New Roman" w:hAnsi="Times New Roman" w:cs="Times New Roman"/>
                <w:sz w:val="20"/>
                <w:szCs w:val="20"/>
                <w:lang w:val="en-US"/>
              </w:rPr>
              <w:t xml:space="preserve">EU: if </w:t>
            </w:r>
            <w:r w:rsidR="00D66F43">
              <w:rPr>
                <w:rFonts w:ascii="Times New Roman" w:hAnsi="Times New Roman" w:cs="Times New Roman"/>
                <w:sz w:val="20"/>
                <w:szCs w:val="20"/>
                <w:lang w:val="en-US"/>
              </w:rPr>
              <w:t xml:space="preserve">the </w:t>
            </w:r>
            <w:r w:rsidRPr="00E063B0">
              <w:rPr>
                <w:rFonts w:ascii="Times New Roman" w:hAnsi="Times New Roman" w:cs="Times New Roman"/>
                <w:sz w:val="20"/>
                <w:szCs w:val="20"/>
                <w:lang w:val="en-US"/>
              </w:rPr>
              <w:t xml:space="preserve">sum of </w:t>
            </w:r>
            <w:r w:rsidR="00D66F43">
              <w:rPr>
                <w:rFonts w:ascii="Times New Roman" w:hAnsi="Times New Roman" w:cs="Times New Roman"/>
                <w:sz w:val="20"/>
                <w:szCs w:val="20"/>
                <w:lang w:val="en-US"/>
              </w:rPr>
              <w:t xml:space="preserve">a </w:t>
            </w:r>
            <w:r w:rsidRPr="00E063B0">
              <w:rPr>
                <w:rFonts w:ascii="Times New Roman" w:hAnsi="Times New Roman" w:cs="Times New Roman"/>
                <w:sz w:val="20"/>
                <w:szCs w:val="20"/>
                <w:lang w:val="en-US"/>
              </w:rPr>
              <w:t>transaction in cash exceeds 15 thousand euro; Japan: for a dep</w:t>
            </w:r>
            <w:r>
              <w:rPr>
                <w:rFonts w:ascii="Times New Roman" w:hAnsi="Times New Roman" w:cs="Times New Roman"/>
                <w:sz w:val="20"/>
                <w:szCs w:val="20"/>
                <w:lang w:val="en-US"/>
              </w:rPr>
              <w:t>osit of more than 2 million yen</w:t>
            </w:r>
            <w:r w:rsidR="00801302" w:rsidRPr="00E063B0">
              <w:rPr>
                <w:rFonts w:ascii="Times New Roman" w:hAnsi="Times New Roman" w:cs="Times New Roman"/>
                <w:sz w:val="20"/>
                <w:szCs w:val="20"/>
                <w:lang w:val="en-US"/>
              </w:rPr>
              <w:t>;</w:t>
            </w:r>
          </w:p>
          <w:p w14:paraId="0D7A990C" w14:textId="77777777" w:rsidR="00801302" w:rsidRPr="00E063B0" w:rsidRDefault="00E063B0" w:rsidP="00D23A30">
            <w:pPr>
              <w:pStyle w:val="ListParagraph"/>
              <w:numPr>
                <w:ilvl w:val="0"/>
                <w:numId w:val="2"/>
              </w:numPr>
              <w:tabs>
                <w:tab w:val="left" w:pos="209"/>
              </w:tabs>
              <w:spacing w:line="276" w:lineRule="auto"/>
              <w:ind w:left="235" w:right="-87" w:hanging="235"/>
              <w:jc w:val="center"/>
              <w:rPr>
                <w:rFonts w:ascii="Times New Roman" w:hAnsi="Times New Roman" w:cs="Times New Roman"/>
                <w:sz w:val="20"/>
                <w:szCs w:val="20"/>
                <w:lang w:val="en-US"/>
              </w:rPr>
            </w:pPr>
            <w:r>
              <w:rPr>
                <w:rFonts w:ascii="Times New Roman" w:hAnsi="Times New Roman" w:cs="Times New Roman"/>
                <w:sz w:val="20"/>
                <w:szCs w:val="20"/>
                <w:lang w:val="en-US"/>
              </w:rPr>
              <w:t>R</w:t>
            </w:r>
            <w:r w:rsidRPr="00E063B0">
              <w:rPr>
                <w:rFonts w:ascii="Times New Roman" w:hAnsi="Times New Roman" w:cs="Times New Roman"/>
                <w:sz w:val="20"/>
                <w:szCs w:val="20"/>
                <w:lang w:val="en-US"/>
              </w:rPr>
              <w:t>ussia, CIS, South Africa, Germany</w:t>
            </w:r>
            <w:r>
              <w:rPr>
                <w:rFonts w:ascii="Times New Roman" w:hAnsi="Times New Roman" w:cs="Times New Roman"/>
                <w:sz w:val="20"/>
                <w:szCs w:val="20"/>
                <w:lang w:val="en-US"/>
              </w:rPr>
              <w:t>.</w:t>
            </w:r>
          </w:p>
        </w:tc>
        <w:tc>
          <w:tcPr>
            <w:tcW w:w="1553" w:type="dxa"/>
            <w:vAlign w:val="center"/>
          </w:tcPr>
          <w:p w14:paraId="334E265F" w14:textId="77777777" w:rsidR="00E063B0" w:rsidRPr="00E063B0" w:rsidRDefault="00301C91" w:rsidP="00E063B0">
            <w:pPr>
              <w:tabs>
                <w:tab w:val="left" w:pos="1843"/>
              </w:tabs>
              <w:contextualSpacing/>
              <w:jc w:val="center"/>
              <w:rPr>
                <w:rFonts w:ascii="Times New Roman" w:hAnsi="Times New Roman" w:cs="Times New Roman"/>
                <w:sz w:val="20"/>
                <w:szCs w:val="20"/>
              </w:rPr>
            </w:pPr>
            <w:r>
              <w:rPr>
                <w:rFonts w:ascii="Times New Roman" w:hAnsi="Times New Roman" w:cs="Times New Roman"/>
                <w:sz w:val="20"/>
                <w:szCs w:val="20"/>
              </w:rPr>
              <w:t>EU: [2</w:t>
            </w:r>
            <w:r w:rsidR="00E063B0" w:rsidRPr="00E063B0">
              <w:rPr>
                <w:rFonts w:ascii="Times New Roman" w:hAnsi="Times New Roman" w:cs="Times New Roman"/>
                <w:sz w:val="20"/>
                <w:szCs w:val="20"/>
              </w:rPr>
              <w:t>]</w:t>
            </w:r>
          </w:p>
          <w:p w14:paraId="5822C927" w14:textId="77777777" w:rsidR="009C1B95" w:rsidRPr="009C1B95" w:rsidRDefault="00301C91" w:rsidP="00E063B0">
            <w:pPr>
              <w:tabs>
                <w:tab w:val="left" w:pos="1843"/>
              </w:tabs>
              <w:contextualSpacing/>
              <w:jc w:val="center"/>
              <w:rPr>
                <w:sz w:val="20"/>
                <w:szCs w:val="20"/>
              </w:rPr>
            </w:pPr>
            <w:r>
              <w:rPr>
                <w:rFonts w:ascii="Times New Roman" w:hAnsi="Times New Roman" w:cs="Times New Roman"/>
                <w:sz w:val="20"/>
                <w:szCs w:val="20"/>
              </w:rPr>
              <w:t>Japan: [3</w:t>
            </w:r>
            <w:r w:rsidR="00E063B0" w:rsidRPr="00E063B0">
              <w:rPr>
                <w:rFonts w:ascii="Times New Roman" w:hAnsi="Times New Roman" w:cs="Times New Roman"/>
                <w:sz w:val="20"/>
                <w:szCs w:val="20"/>
              </w:rPr>
              <w:t>]</w:t>
            </w:r>
            <w:r w:rsidR="00E063B0" w:rsidRPr="00E063B0">
              <w:rPr>
                <w:sz w:val="20"/>
                <w:szCs w:val="20"/>
              </w:rPr>
              <w:t xml:space="preserve"> </w:t>
            </w:r>
          </w:p>
        </w:tc>
      </w:tr>
      <w:tr w:rsidR="00801302" w:rsidRPr="00512688" w14:paraId="741403F6" w14:textId="77777777" w:rsidTr="00206D8C">
        <w:trPr>
          <w:jc w:val="center"/>
        </w:trPr>
        <w:tc>
          <w:tcPr>
            <w:tcW w:w="355" w:type="dxa"/>
            <w:vAlign w:val="center"/>
          </w:tcPr>
          <w:p w14:paraId="0F1E233B" w14:textId="77777777" w:rsidR="00801302" w:rsidRPr="00512688" w:rsidRDefault="00801302" w:rsidP="009C1B95">
            <w:pPr>
              <w:tabs>
                <w:tab w:val="left" w:pos="1843"/>
              </w:tabs>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2240" w:type="dxa"/>
            <w:vAlign w:val="center"/>
          </w:tcPr>
          <w:p w14:paraId="123A47C2" w14:textId="77777777" w:rsidR="00801302" w:rsidRPr="00E063B0" w:rsidRDefault="00E063B0" w:rsidP="009C1B95">
            <w:pPr>
              <w:tabs>
                <w:tab w:val="left" w:pos="1843"/>
              </w:tabs>
              <w:spacing w:line="276" w:lineRule="auto"/>
              <w:contextualSpacing/>
              <w:jc w:val="center"/>
              <w:rPr>
                <w:rFonts w:ascii="Times New Roman" w:hAnsi="Times New Roman" w:cs="Times New Roman"/>
                <w:sz w:val="20"/>
                <w:szCs w:val="20"/>
                <w:lang w:val="en-US"/>
              </w:rPr>
            </w:pPr>
            <w:r w:rsidRPr="00E063B0">
              <w:rPr>
                <w:rFonts w:ascii="Times New Roman" w:hAnsi="Times New Roman" w:cs="Times New Roman"/>
                <w:sz w:val="20"/>
                <w:szCs w:val="20"/>
                <w:lang w:val="en-US"/>
              </w:rPr>
              <w:t>Identification of beneficiaries, including the major ones</w:t>
            </w:r>
          </w:p>
        </w:tc>
        <w:tc>
          <w:tcPr>
            <w:tcW w:w="2977" w:type="dxa"/>
            <w:vAlign w:val="center"/>
          </w:tcPr>
          <w:p w14:paraId="60DF8F3A" w14:textId="12315E7D" w:rsidR="00801302" w:rsidRPr="00E063B0" w:rsidRDefault="00E063B0" w:rsidP="00D66F43">
            <w:pPr>
              <w:pStyle w:val="ListParagraph"/>
              <w:numPr>
                <w:ilvl w:val="0"/>
                <w:numId w:val="3"/>
              </w:numPr>
              <w:tabs>
                <w:tab w:val="left" w:pos="1843"/>
              </w:tabs>
              <w:spacing w:line="276" w:lineRule="auto"/>
              <w:ind w:left="235" w:right="-10" w:hanging="235"/>
              <w:jc w:val="center"/>
              <w:rPr>
                <w:rFonts w:ascii="Times New Roman" w:hAnsi="Times New Roman" w:cs="Times New Roman"/>
                <w:sz w:val="20"/>
                <w:szCs w:val="20"/>
                <w:lang w:val="en-US"/>
              </w:rPr>
            </w:pPr>
            <w:r w:rsidRPr="00E063B0">
              <w:rPr>
                <w:rFonts w:ascii="Times New Roman" w:hAnsi="Times New Roman" w:cs="Times New Roman"/>
                <w:sz w:val="20"/>
                <w:szCs w:val="20"/>
                <w:lang w:val="en-US"/>
              </w:rPr>
              <w:t xml:space="preserve">Business equities are </w:t>
            </w:r>
            <w:r w:rsidR="00D66F43">
              <w:rPr>
                <w:rFonts w:ascii="Times New Roman" w:hAnsi="Times New Roman" w:cs="Times New Roman"/>
                <w:sz w:val="20"/>
                <w:szCs w:val="20"/>
                <w:lang w:val="en-US"/>
              </w:rPr>
              <w:t>obliged</w:t>
            </w:r>
            <w:r w:rsidRPr="00E063B0">
              <w:rPr>
                <w:rFonts w:ascii="Times New Roman" w:hAnsi="Times New Roman" w:cs="Times New Roman"/>
                <w:sz w:val="20"/>
                <w:szCs w:val="20"/>
                <w:lang w:val="en-US"/>
              </w:rPr>
              <w:t xml:space="preserve"> to provide information about </w:t>
            </w:r>
            <w:r w:rsidR="00D66F43">
              <w:rPr>
                <w:rFonts w:ascii="Times New Roman" w:hAnsi="Times New Roman" w:cs="Times New Roman"/>
                <w:sz w:val="20"/>
                <w:szCs w:val="20"/>
                <w:lang w:val="en-US"/>
              </w:rPr>
              <w:t xml:space="preserve">the </w:t>
            </w:r>
            <w:r w:rsidRPr="00E063B0">
              <w:rPr>
                <w:rFonts w:ascii="Times New Roman" w:hAnsi="Times New Roman" w:cs="Times New Roman"/>
                <w:sz w:val="20"/>
                <w:szCs w:val="20"/>
                <w:lang w:val="en-US"/>
              </w:rPr>
              <w:t>main stakeholders (beneficiaries)</w:t>
            </w:r>
            <w:r w:rsidR="00801302" w:rsidRPr="00E063B0">
              <w:rPr>
                <w:rFonts w:ascii="Times New Roman" w:hAnsi="Times New Roman" w:cs="Times New Roman"/>
                <w:sz w:val="20"/>
                <w:szCs w:val="20"/>
                <w:lang w:val="en-US"/>
              </w:rPr>
              <w:t>;</w:t>
            </w:r>
          </w:p>
          <w:p w14:paraId="7B869549" w14:textId="77777777" w:rsidR="00801302" w:rsidRPr="00E063B0" w:rsidRDefault="00E063B0" w:rsidP="00D23A30">
            <w:pPr>
              <w:pStyle w:val="ListParagraph"/>
              <w:numPr>
                <w:ilvl w:val="0"/>
                <w:numId w:val="3"/>
              </w:numPr>
              <w:tabs>
                <w:tab w:val="left" w:pos="1843"/>
              </w:tabs>
              <w:spacing w:line="276" w:lineRule="auto"/>
              <w:ind w:left="235" w:right="-10" w:hanging="235"/>
              <w:jc w:val="center"/>
              <w:rPr>
                <w:rFonts w:ascii="Times New Roman" w:hAnsi="Times New Roman" w:cs="Times New Roman"/>
                <w:sz w:val="20"/>
                <w:szCs w:val="20"/>
                <w:lang w:val="en-US"/>
              </w:rPr>
            </w:pPr>
            <w:r w:rsidRPr="00E063B0">
              <w:rPr>
                <w:rFonts w:ascii="Times New Roman" w:hAnsi="Times New Roman" w:cs="Times New Roman"/>
                <w:sz w:val="20"/>
                <w:szCs w:val="20"/>
                <w:lang w:val="en-US"/>
              </w:rPr>
              <w:t>There are no legal obligations to provide such information</w:t>
            </w:r>
            <w:r w:rsidR="00801302" w:rsidRPr="00E063B0">
              <w:rPr>
                <w:rFonts w:ascii="Times New Roman" w:hAnsi="Times New Roman" w:cs="Times New Roman"/>
                <w:sz w:val="20"/>
                <w:szCs w:val="20"/>
                <w:lang w:val="en-US"/>
              </w:rPr>
              <w:t>.</w:t>
            </w:r>
          </w:p>
        </w:tc>
        <w:tc>
          <w:tcPr>
            <w:tcW w:w="2598" w:type="dxa"/>
            <w:vAlign w:val="center"/>
          </w:tcPr>
          <w:p w14:paraId="7519FCF7" w14:textId="77777777" w:rsidR="00801302" w:rsidRPr="00E063B0" w:rsidRDefault="00E063B0" w:rsidP="00D23A30">
            <w:pPr>
              <w:pStyle w:val="ListParagraph"/>
              <w:numPr>
                <w:ilvl w:val="0"/>
                <w:numId w:val="4"/>
              </w:numPr>
              <w:tabs>
                <w:tab w:val="left" w:pos="209"/>
              </w:tabs>
              <w:spacing w:line="276" w:lineRule="auto"/>
              <w:ind w:left="235" w:right="-87" w:hanging="235"/>
              <w:jc w:val="center"/>
              <w:rPr>
                <w:rFonts w:ascii="Times New Roman" w:hAnsi="Times New Roman" w:cs="Times New Roman"/>
                <w:sz w:val="20"/>
                <w:szCs w:val="20"/>
                <w:lang w:val="en-US"/>
              </w:rPr>
            </w:pPr>
            <w:r w:rsidRPr="00E063B0">
              <w:rPr>
                <w:rFonts w:ascii="Times New Roman" w:hAnsi="Times New Roman" w:cs="Times New Roman"/>
                <w:sz w:val="20"/>
                <w:szCs w:val="20"/>
                <w:lang w:val="en-US"/>
              </w:rPr>
              <w:t>Great Britain, Germany, Italy, The Netherlands</w:t>
            </w:r>
            <w:r w:rsidR="00801302" w:rsidRPr="00E063B0">
              <w:rPr>
                <w:rFonts w:ascii="Times New Roman" w:hAnsi="Times New Roman" w:cs="Times New Roman"/>
                <w:sz w:val="20"/>
                <w:szCs w:val="20"/>
                <w:lang w:val="en-US"/>
              </w:rPr>
              <w:t>;</w:t>
            </w:r>
          </w:p>
          <w:p w14:paraId="010A7BDB" w14:textId="77777777" w:rsidR="00801302" w:rsidRPr="00512688" w:rsidRDefault="00E063B0" w:rsidP="00D23A30">
            <w:pPr>
              <w:pStyle w:val="ListParagraph"/>
              <w:numPr>
                <w:ilvl w:val="0"/>
                <w:numId w:val="4"/>
              </w:numPr>
              <w:tabs>
                <w:tab w:val="left" w:pos="209"/>
              </w:tabs>
              <w:spacing w:line="276" w:lineRule="auto"/>
              <w:ind w:left="235" w:right="-87" w:hanging="235"/>
              <w:jc w:val="center"/>
              <w:rPr>
                <w:rFonts w:ascii="Times New Roman" w:hAnsi="Times New Roman" w:cs="Times New Roman"/>
                <w:sz w:val="20"/>
                <w:szCs w:val="20"/>
              </w:rPr>
            </w:pPr>
            <w:r w:rsidRPr="00E063B0">
              <w:rPr>
                <w:rFonts w:ascii="Times New Roman" w:hAnsi="Times New Roman" w:cs="Times New Roman"/>
                <w:sz w:val="20"/>
                <w:szCs w:val="20"/>
              </w:rPr>
              <w:t>Russia, France, Brazil</w:t>
            </w:r>
            <w:r w:rsidR="00801302" w:rsidRPr="00512688">
              <w:rPr>
                <w:rFonts w:ascii="Times New Roman" w:hAnsi="Times New Roman" w:cs="Times New Roman"/>
                <w:sz w:val="20"/>
                <w:szCs w:val="20"/>
              </w:rPr>
              <w:t>.</w:t>
            </w:r>
          </w:p>
        </w:tc>
        <w:tc>
          <w:tcPr>
            <w:tcW w:w="1553" w:type="dxa"/>
            <w:vAlign w:val="center"/>
          </w:tcPr>
          <w:p w14:paraId="0A3E383C" w14:textId="77777777" w:rsidR="00E063B0" w:rsidRPr="00E063B0" w:rsidRDefault="00301C91" w:rsidP="00E063B0">
            <w:pPr>
              <w:tabs>
                <w:tab w:val="left" w:pos="1843"/>
              </w:tabs>
              <w:contextualSpacing/>
              <w:jc w:val="center"/>
              <w:rPr>
                <w:rFonts w:ascii="Times New Roman" w:hAnsi="Times New Roman" w:cs="Times New Roman"/>
                <w:sz w:val="20"/>
                <w:szCs w:val="20"/>
              </w:rPr>
            </w:pPr>
            <w:r>
              <w:rPr>
                <w:rFonts w:ascii="Times New Roman" w:hAnsi="Times New Roman" w:cs="Times New Roman"/>
                <w:sz w:val="20"/>
                <w:szCs w:val="20"/>
              </w:rPr>
              <w:t>Great Britain [4</w:t>
            </w:r>
            <w:r w:rsidR="00E063B0" w:rsidRPr="00E063B0">
              <w:rPr>
                <w:rFonts w:ascii="Times New Roman" w:hAnsi="Times New Roman" w:cs="Times New Roman"/>
                <w:sz w:val="20"/>
                <w:szCs w:val="20"/>
              </w:rPr>
              <w:t>]</w:t>
            </w:r>
          </w:p>
          <w:p w14:paraId="100007B4" w14:textId="77777777" w:rsidR="00E063B0" w:rsidRPr="00E063B0" w:rsidRDefault="00301C91" w:rsidP="00E063B0">
            <w:pPr>
              <w:tabs>
                <w:tab w:val="left" w:pos="1843"/>
              </w:tabs>
              <w:contextualSpacing/>
              <w:jc w:val="center"/>
              <w:rPr>
                <w:rFonts w:ascii="Times New Roman" w:hAnsi="Times New Roman" w:cs="Times New Roman"/>
                <w:sz w:val="20"/>
                <w:szCs w:val="20"/>
              </w:rPr>
            </w:pPr>
            <w:r>
              <w:rPr>
                <w:rFonts w:ascii="Times New Roman" w:hAnsi="Times New Roman" w:cs="Times New Roman"/>
                <w:sz w:val="20"/>
                <w:szCs w:val="20"/>
              </w:rPr>
              <w:t>Germany [5</w:t>
            </w:r>
            <w:r w:rsidR="00E063B0" w:rsidRPr="00E063B0">
              <w:rPr>
                <w:rFonts w:ascii="Times New Roman" w:hAnsi="Times New Roman" w:cs="Times New Roman"/>
                <w:sz w:val="20"/>
                <w:szCs w:val="20"/>
              </w:rPr>
              <w:t>]</w:t>
            </w:r>
          </w:p>
          <w:p w14:paraId="6C344251" w14:textId="77777777" w:rsidR="00E063B0" w:rsidRPr="00E063B0" w:rsidRDefault="00301C91" w:rsidP="00E063B0">
            <w:pPr>
              <w:tabs>
                <w:tab w:val="left" w:pos="1843"/>
              </w:tabs>
              <w:contextualSpacing/>
              <w:jc w:val="center"/>
              <w:rPr>
                <w:rFonts w:ascii="Times New Roman" w:hAnsi="Times New Roman" w:cs="Times New Roman"/>
                <w:sz w:val="20"/>
                <w:szCs w:val="20"/>
              </w:rPr>
            </w:pPr>
            <w:r>
              <w:rPr>
                <w:rFonts w:ascii="Times New Roman" w:hAnsi="Times New Roman" w:cs="Times New Roman"/>
                <w:sz w:val="20"/>
                <w:szCs w:val="20"/>
              </w:rPr>
              <w:t>Italy [6</w:t>
            </w:r>
            <w:r w:rsidR="00E063B0" w:rsidRPr="00E063B0">
              <w:rPr>
                <w:rFonts w:ascii="Times New Roman" w:hAnsi="Times New Roman" w:cs="Times New Roman"/>
                <w:sz w:val="20"/>
                <w:szCs w:val="20"/>
              </w:rPr>
              <w:t>]</w:t>
            </w:r>
          </w:p>
          <w:p w14:paraId="2BE10F48" w14:textId="77777777" w:rsidR="00801302" w:rsidRPr="00E97FCD" w:rsidRDefault="00301C91" w:rsidP="00E063B0">
            <w:pPr>
              <w:tabs>
                <w:tab w:val="left" w:pos="1843"/>
              </w:tabs>
              <w:spacing w:line="276" w:lineRule="auto"/>
              <w:contextualSpacing/>
              <w:jc w:val="center"/>
              <w:rPr>
                <w:rFonts w:ascii="Times New Roman" w:hAnsi="Times New Roman" w:cs="Times New Roman"/>
                <w:sz w:val="20"/>
                <w:szCs w:val="20"/>
                <w:lang w:val="en-US"/>
              </w:rPr>
            </w:pPr>
            <w:r>
              <w:rPr>
                <w:rFonts w:ascii="Times New Roman" w:hAnsi="Times New Roman" w:cs="Times New Roman"/>
                <w:sz w:val="20"/>
                <w:szCs w:val="20"/>
              </w:rPr>
              <w:t>The Netherlands [7</w:t>
            </w:r>
            <w:r w:rsidR="00E063B0" w:rsidRPr="00E063B0">
              <w:rPr>
                <w:rFonts w:ascii="Times New Roman" w:hAnsi="Times New Roman" w:cs="Times New Roman"/>
                <w:sz w:val="20"/>
                <w:szCs w:val="20"/>
              </w:rPr>
              <w:t>]</w:t>
            </w:r>
          </w:p>
        </w:tc>
      </w:tr>
      <w:tr w:rsidR="00801302" w:rsidRPr="00512688" w14:paraId="18DBB25A" w14:textId="77777777" w:rsidTr="00206D8C">
        <w:trPr>
          <w:jc w:val="center"/>
        </w:trPr>
        <w:tc>
          <w:tcPr>
            <w:tcW w:w="355" w:type="dxa"/>
            <w:vAlign w:val="center"/>
          </w:tcPr>
          <w:p w14:paraId="3EE8E728" w14:textId="77777777" w:rsidR="00801302" w:rsidRPr="00512688" w:rsidRDefault="00801302" w:rsidP="009C1B95">
            <w:pPr>
              <w:tabs>
                <w:tab w:val="left" w:pos="1843"/>
              </w:tabs>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2240" w:type="dxa"/>
            <w:vAlign w:val="center"/>
          </w:tcPr>
          <w:p w14:paraId="07F8CDDD" w14:textId="77777777" w:rsidR="00801302" w:rsidRPr="00E063B0" w:rsidRDefault="00E063B0" w:rsidP="00E063B0">
            <w:pPr>
              <w:tabs>
                <w:tab w:val="left" w:pos="1843"/>
              </w:tabs>
              <w:spacing w:line="276" w:lineRule="auto"/>
              <w:contextualSpacing/>
              <w:jc w:val="center"/>
              <w:rPr>
                <w:rFonts w:ascii="Times New Roman" w:hAnsi="Times New Roman" w:cs="Times New Roman"/>
                <w:sz w:val="20"/>
                <w:szCs w:val="20"/>
                <w:lang w:val="en-US"/>
              </w:rPr>
            </w:pPr>
            <w:r w:rsidRPr="00E063B0">
              <w:rPr>
                <w:rFonts w:ascii="Times New Roman" w:hAnsi="Times New Roman" w:cs="Times New Roman"/>
                <w:sz w:val="20"/>
                <w:szCs w:val="20"/>
                <w:lang w:val="en-US"/>
              </w:rPr>
              <w:t>Monitoring of transactions, providing information to a financial monitoring unit</w:t>
            </w:r>
          </w:p>
        </w:tc>
        <w:tc>
          <w:tcPr>
            <w:tcW w:w="2977" w:type="dxa"/>
            <w:vAlign w:val="center"/>
          </w:tcPr>
          <w:p w14:paraId="6EFE5313" w14:textId="77777777" w:rsidR="00801302" w:rsidRPr="00C33DB3" w:rsidRDefault="00C33DB3" w:rsidP="00D23A30">
            <w:pPr>
              <w:pStyle w:val="ListParagraph"/>
              <w:numPr>
                <w:ilvl w:val="0"/>
                <w:numId w:val="5"/>
              </w:numPr>
              <w:tabs>
                <w:tab w:val="left" w:pos="1843"/>
              </w:tabs>
              <w:spacing w:line="276" w:lineRule="auto"/>
              <w:ind w:left="235" w:right="-10" w:hanging="235"/>
              <w:jc w:val="center"/>
              <w:rPr>
                <w:rFonts w:ascii="Times New Roman" w:hAnsi="Times New Roman" w:cs="Times New Roman"/>
                <w:sz w:val="20"/>
                <w:szCs w:val="20"/>
                <w:lang w:val="en-US"/>
              </w:rPr>
            </w:pPr>
            <w:r w:rsidRPr="00C33DB3">
              <w:rPr>
                <w:rFonts w:ascii="Times New Roman" w:hAnsi="Times New Roman" w:cs="Times New Roman"/>
                <w:sz w:val="20"/>
                <w:szCs w:val="20"/>
                <w:lang w:val="en-US"/>
              </w:rPr>
              <w:t>Providing information on the condition of a reasonable suspicion that the transaction is part of money laundering or financing terrorism</w:t>
            </w:r>
            <w:r w:rsidR="00801302" w:rsidRPr="00C33DB3">
              <w:rPr>
                <w:rFonts w:ascii="Times New Roman" w:hAnsi="Times New Roman" w:cs="Times New Roman"/>
                <w:sz w:val="20"/>
                <w:szCs w:val="20"/>
                <w:lang w:val="en-US"/>
              </w:rPr>
              <w:t>;</w:t>
            </w:r>
          </w:p>
          <w:p w14:paraId="2DC5FE28" w14:textId="77777777" w:rsidR="00801302" w:rsidRPr="00C33DB3" w:rsidRDefault="00C33DB3" w:rsidP="00D23A30">
            <w:pPr>
              <w:pStyle w:val="ListParagraph"/>
              <w:numPr>
                <w:ilvl w:val="0"/>
                <w:numId w:val="5"/>
              </w:numPr>
              <w:tabs>
                <w:tab w:val="left" w:pos="1843"/>
              </w:tabs>
              <w:spacing w:line="276" w:lineRule="auto"/>
              <w:ind w:left="235" w:right="-10" w:hanging="235"/>
              <w:jc w:val="center"/>
              <w:rPr>
                <w:rFonts w:ascii="Times New Roman" w:hAnsi="Times New Roman" w:cs="Times New Roman"/>
                <w:sz w:val="20"/>
                <w:szCs w:val="20"/>
                <w:lang w:val="en-US"/>
              </w:rPr>
            </w:pPr>
            <w:r w:rsidRPr="00C33DB3">
              <w:rPr>
                <w:rFonts w:ascii="Times New Roman" w:hAnsi="Times New Roman" w:cs="Times New Roman"/>
                <w:sz w:val="20"/>
                <w:szCs w:val="20"/>
                <w:lang w:val="en-US"/>
              </w:rPr>
              <w:t>Providing information on a set list of transactions and because of a reasonable suspicion that the transaction is part of money laundering or financing terrorism</w:t>
            </w:r>
            <w:r>
              <w:rPr>
                <w:rFonts w:ascii="Times New Roman" w:hAnsi="Times New Roman" w:cs="Times New Roman"/>
                <w:sz w:val="20"/>
                <w:szCs w:val="20"/>
                <w:lang w:val="en-US"/>
              </w:rPr>
              <w:t>.</w:t>
            </w:r>
          </w:p>
        </w:tc>
        <w:tc>
          <w:tcPr>
            <w:tcW w:w="2598" w:type="dxa"/>
            <w:vAlign w:val="center"/>
          </w:tcPr>
          <w:p w14:paraId="1FB420EC" w14:textId="77777777" w:rsidR="00801302" w:rsidRPr="00C33DB3" w:rsidRDefault="00C33DB3" w:rsidP="00D23A30">
            <w:pPr>
              <w:pStyle w:val="ListParagraph"/>
              <w:numPr>
                <w:ilvl w:val="0"/>
                <w:numId w:val="6"/>
              </w:numPr>
              <w:tabs>
                <w:tab w:val="left" w:pos="209"/>
              </w:tabs>
              <w:spacing w:line="276" w:lineRule="auto"/>
              <w:ind w:left="235" w:right="132" w:hanging="235"/>
              <w:jc w:val="center"/>
              <w:rPr>
                <w:rFonts w:ascii="Times New Roman" w:hAnsi="Times New Roman" w:cs="Times New Roman"/>
                <w:sz w:val="20"/>
                <w:szCs w:val="20"/>
                <w:lang w:val="en-US"/>
              </w:rPr>
            </w:pPr>
            <w:r w:rsidRPr="00C33DB3">
              <w:rPr>
                <w:rFonts w:ascii="Times New Roman" w:hAnsi="Times New Roman" w:cs="Times New Roman"/>
                <w:sz w:val="20"/>
                <w:szCs w:val="20"/>
                <w:lang w:val="en-US"/>
              </w:rPr>
              <w:t>Brazil - international transfers of more than 5 thousand real, Mexico - transfers of more than 20 thousand USD, Japan - international transfers of more than 30 million yen, USA - transactions of more than 10 thousand USD made in cash and of more than 3 thousand USD in financial instruments</w:t>
            </w:r>
            <w:r w:rsidR="00801302" w:rsidRPr="00C33DB3">
              <w:rPr>
                <w:rFonts w:ascii="Times New Roman" w:hAnsi="Times New Roman" w:cs="Times New Roman"/>
                <w:sz w:val="20"/>
                <w:szCs w:val="20"/>
                <w:lang w:val="en-US"/>
              </w:rPr>
              <w:t>;</w:t>
            </w:r>
          </w:p>
          <w:p w14:paraId="5C5FAFC9" w14:textId="77777777" w:rsidR="00801302" w:rsidRPr="00C33DB3" w:rsidRDefault="00C33DB3" w:rsidP="00D23A30">
            <w:pPr>
              <w:pStyle w:val="ListParagraph"/>
              <w:numPr>
                <w:ilvl w:val="0"/>
                <w:numId w:val="6"/>
              </w:numPr>
              <w:tabs>
                <w:tab w:val="left" w:pos="209"/>
              </w:tabs>
              <w:spacing w:line="276" w:lineRule="auto"/>
              <w:ind w:left="235" w:right="132" w:hanging="235"/>
              <w:jc w:val="center"/>
              <w:rPr>
                <w:rFonts w:ascii="Times New Roman" w:hAnsi="Times New Roman" w:cs="Times New Roman"/>
                <w:sz w:val="20"/>
                <w:szCs w:val="20"/>
                <w:lang w:val="en-US"/>
              </w:rPr>
            </w:pPr>
            <w:r w:rsidRPr="00C33DB3">
              <w:rPr>
                <w:rFonts w:ascii="Times New Roman" w:hAnsi="Times New Roman" w:cs="Times New Roman"/>
                <w:sz w:val="20"/>
                <w:szCs w:val="20"/>
                <w:lang w:val="en-US"/>
              </w:rPr>
              <w:t>Russia - transactions of more than 3 thousand USD in cash; also CIS countries</w:t>
            </w:r>
            <w:r w:rsidR="00801302" w:rsidRPr="00C33DB3">
              <w:rPr>
                <w:rFonts w:ascii="Times New Roman" w:hAnsi="Times New Roman" w:cs="Times New Roman"/>
                <w:sz w:val="20"/>
                <w:szCs w:val="20"/>
                <w:lang w:val="en-US"/>
              </w:rPr>
              <w:t>.</w:t>
            </w:r>
          </w:p>
        </w:tc>
        <w:tc>
          <w:tcPr>
            <w:tcW w:w="1553" w:type="dxa"/>
            <w:vAlign w:val="center"/>
          </w:tcPr>
          <w:p w14:paraId="5DE798BF" w14:textId="77777777" w:rsidR="009C1B95" w:rsidRPr="00E97FCD" w:rsidRDefault="00301C91" w:rsidP="00E97FCD">
            <w:pPr>
              <w:tabs>
                <w:tab w:val="left" w:pos="1843"/>
              </w:tabs>
              <w:spacing w:line="276" w:lineRule="auto"/>
              <w:contextualSpacing/>
              <w:jc w:val="center"/>
              <w:rPr>
                <w:rFonts w:ascii="Times New Roman" w:hAnsi="Times New Roman" w:cs="Times New Roman"/>
                <w:sz w:val="18"/>
                <w:szCs w:val="28"/>
              </w:rPr>
            </w:pPr>
            <w:r>
              <w:rPr>
                <w:rFonts w:ascii="Times New Roman" w:hAnsi="Times New Roman" w:cs="Times New Roman"/>
                <w:sz w:val="18"/>
                <w:szCs w:val="28"/>
              </w:rPr>
              <w:t>Brazil, USA [5</w:t>
            </w:r>
            <w:r w:rsidR="00C33DB3" w:rsidRPr="00C33DB3">
              <w:rPr>
                <w:rFonts w:ascii="Times New Roman" w:hAnsi="Times New Roman" w:cs="Times New Roman"/>
                <w:sz w:val="18"/>
                <w:szCs w:val="28"/>
              </w:rPr>
              <w:t>]</w:t>
            </w:r>
          </w:p>
        </w:tc>
      </w:tr>
      <w:tr w:rsidR="00801302" w:rsidRPr="00512688" w14:paraId="04F24147" w14:textId="77777777" w:rsidTr="00206D8C">
        <w:trPr>
          <w:jc w:val="center"/>
        </w:trPr>
        <w:tc>
          <w:tcPr>
            <w:tcW w:w="355" w:type="dxa"/>
            <w:vAlign w:val="center"/>
          </w:tcPr>
          <w:p w14:paraId="3F55EDCD" w14:textId="77777777" w:rsidR="00801302" w:rsidRPr="00512688" w:rsidRDefault="00801302" w:rsidP="009C1B95">
            <w:pPr>
              <w:tabs>
                <w:tab w:val="left" w:pos="1843"/>
              </w:tabs>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2240" w:type="dxa"/>
            <w:vAlign w:val="center"/>
          </w:tcPr>
          <w:p w14:paraId="5E90B9C5" w14:textId="77777777" w:rsidR="00801302" w:rsidRPr="00C33DB3" w:rsidRDefault="00C33DB3" w:rsidP="009C1B95">
            <w:pPr>
              <w:tabs>
                <w:tab w:val="left" w:pos="1843"/>
              </w:tabs>
              <w:spacing w:line="276" w:lineRule="auto"/>
              <w:contextualSpacing/>
              <w:jc w:val="center"/>
              <w:rPr>
                <w:rFonts w:ascii="Times New Roman" w:hAnsi="Times New Roman" w:cs="Times New Roman"/>
                <w:sz w:val="20"/>
                <w:szCs w:val="20"/>
                <w:lang w:val="en-US"/>
              </w:rPr>
            </w:pPr>
            <w:r w:rsidRPr="00C33DB3">
              <w:rPr>
                <w:rFonts w:ascii="Times New Roman" w:hAnsi="Times New Roman" w:cs="Times New Roman"/>
                <w:sz w:val="20"/>
                <w:szCs w:val="20"/>
                <w:lang w:val="en-US"/>
              </w:rPr>
              <w:t>Suspension of transactions connected with money laundering and financing terrorism</w:t>
            </w:r>
          </w:p>
        </w:tc>
        <w:tc>
          <w:tcPr>
            <w:tcW w:w="2977" w:type="dxa"/>
            <w:vAlign w:val="center"/>
          </w:tcPr>
          <w:p w14:paraId="7133B4C6" w14:textId="77777777" w:rsidR="00801302" w:rsidRPr="00C33DB3" w:rsidRDefault="00C33DB3" w:rsidP="00D23A30">
            <w:pPr>
              <w:pStyle w:val="ListParagraph"/>
              <w:numPr>
                <w:ilvl w:val="0"/>
                <w:numId w:val="7"/>
              </w:numPr>
              <w:tabs>
                <w:tab w:val="left" w:pos="250"/>
                <w:tab w:val="left" w:pos="1843"/>
              </w:tabs>
              <w:spacing w:line="276" w:lineRule="auto"/>
              <w:ind w:left="94" w:right="-10" w:hanging="59"/>
              <w:jc w:val="center"/>
              <w:rPr>
                <w:rFonts w:ascii="Times New Roman" w:hAnsi="Times New Roman" w:cs="Times New Roman"/>
                <w:sz w:val="20"/>
                <w:szCs w:val="20"/>
                <w:lang w:val="en-US"/>
              </w:rPr>
            </w:pPr>
            <w:r w:rsidRPr="00C33DB3">
              <w:rPr>
                <w:rFonts w:ascii="Times New Roman" w:hAnsi="Times New Roman" w:cs="Times New Roman"/>
                <w:sz w:val="20"/>
                <w:szCs w:val="20"/>
                <w:lang w:val="en-US"/>
              </w:rPr>
              <w:t>Transactions connected with financing terrorism</w:t>
            </w:r>
            <w:r w:rsidR="00801302" w:rsidRPr="00C33DB3">
              <w:rPr>
                <w:rFonts w:ascii="Times New Roman" w:hAnsi="Times New Roman" w:cs="Times New Roman"/>
                <w:sz w:val="20"/>
                <w:szCs w:val="20"/>
                <w:lang w:val="en-US"/>
              </w:rPr>
              <w:t>;</w:t>
            </w:r>
          </w:p>
          <w:p w14:paraId="67AAF395" w14:textId="77777777" w:rsidR="00801302" w:rsidRPr="00C33DB3" w:rsidRDefault="00C33DB3" w:rsidP="00D23A30">
            <w:pPr>
              <w:pStyle w:val="ListParagraph"/>
              <w:numPr>
                <w:ilvl w:val="0"/>
                <w:numId w:val="7"/>
              </w:numPr>
              <w:tabs>
                <w:tab w:val="left" w:pos="250"/>
                <w:tab w:val="left" w:pos="1843"/>
              </w:tabs>
              <w:spacing w:line="276" w:lineRule="auto"/>
              <w:ind w:left="94" w:right="-10" w:hanging="59"/>
              <w:jc w:val="center"/>
              <w:rPr>
                <w:rFonts w:ascii="Times New Roman" w:hAnsi="Times New Roman" w:cs="Times New Roman"/>
                <w:sz w:val="20"/>
                <w:szCs w:val="20"/>
                <w:lang w:val="en-US"/>
              </w:rPr>
            </w:pPr>
            <w:r w:rsidRPr="00C33DB3">
              <w:rPr>
                <w:rFonts w:ascii="Times New Roman" w:hAnsi="Times New Roman" w:cs="Times New Roman"/>
                <w:sz w:val="20"/>
                <w:szCs w:val="20"/>
                <w:lang w:val="en-US"/>
              </w:rPr>
              <w:t>Transactions connected with financing terrorism or money laundering activity</w:t>
            </w:r>
          </w:p>
        </w:tc>
        <w:tc>
          <w:tcPr>
            <w:tcW w:w="2598" w:type="dxa"/>
            <w:vAlign w:val="center"/>
          </w:tcPr>
          <w:p w14:paraId="244F8B73" w14:textId="77777777" w:rsidR="00801302" w:rsidRPr="00C33DB3" w:rsidRDefault="00C33DB3" w:rsidP="00D23A30">
            <w:pPr>
              <w:pStyle w:val="ListParagraph"/>
              <w:numPr>
                <w:ilvl w:val="0"/>
                <w:numId w:val="9"/>
              </w:numPr>
              <w:tabs>
                <w:tab w:val="left" w:pos="209"/>
              </w:tabs>
              <w:spacing w:line="276" w:lineRule="auto"/>
              <w:ind w:left="94" w:right="-87" w:hanging="59"/>
              <w:jc w:val="center"/>
              <w:rPr>
                <w:rFonts w:ascii="Times New Roman" w:hAnsi="Times New Roman" w:cs="Times New Roman"/>
                <w:sz w:val="20"/>
                <w:szCs w:val="20"/>
                <w:lang w:val="en-US"/>
              </w:rPr>
            </w:pPr>
            <w:r w:rsidRPr="00C33DB3">
              <w:rPr>
                <w:rFonts w:ascii="Times New Roman" w:hAnsi="Times New Roman" w:cs="Times New Roman"/>
                <w:sz w:val="20"/>
                <w:szCs w:val="20"/>
                <w:lang w:val="en-US"/>
              </w:rPr>
              <w:t>All UN participants according to International regulations imposed by UN (USA, Great Britain, EU, Russia, Brazil, etc.)</w:t>
            </w:r>
            <w:r w:rsidR="00801302" w:rsidRPr="00C33DB3">
              <w:rPr>
                <w:rFonts w:ascii="Times New Roman" w:hAnsi="Times New Roman" w:cs="Times New Roman"/>
                <w:sz w:val="20"/>
                <w:szCs w:val="20"/>
                <w:lang w:val="en-US"/>
              </w:rPr>
              <w:t>;</w:t>
            </w:r>
          </w:p>
          <w:p w14:paraId="1AA578F8" w14:textId="77777777" w:rsidR="00801302" w:rsidRPr="00512688" w:rsidRDefault="00C33DB3" w:rsidP="00D23A30">
            <w:pPr>
              <w:pStyle w:val="ListParagraph"/>
              <w:numPr>
                <w:ilvl w:val="0"/>
                <w:numId w:val="9"/>
              </w:numPr>
              <w:tabs>
                <w:tab w:val="left" w:pos="209"/>
              </w:tabs>
              <w:spacing w:line="276" w:lineRule="auto"/>
              <w:ind w:left="94" w:right="-87" w:hanging="59"/>
              <w:jc w:val="center"/>
              <w:rPr>
                <w:rFonts w:ascii="Times New Roman" w:hAnsi="Times New Roman" w:cs="Times New Roman"/>
                <w:sz w:val="20"/>
                <w:szCs w:val="20"/>
              </w:rPr>
            </w:pPr>
            <w:r w:rsidRPr="00C33DB3">
              <w:rPr>
                <w:rFonts w:ascii="Times New Roman" w:hAnsi="Times New Roman" w:cs="Times New Roman"/>
                <w:sz w:val="20"/>
                <w:szCs w:val="20"/>
              </w:rPr>
              <w:t>GB, USA, Finland</w:t>
            </w:r>
            <w:r w:rsidR="00801302" w:rsidRPr="00512688">
              <w:rPr>
                <w:rFonts w:ascii="Times New Roman" w:hAnsi="Times New Roman" w:cs="Times New Roman"/>
                <w:sz w:val="20"/>
                <w:szCs w:val="20"/>
              </w:rPr>
              <w:t>.</w:t>
            </w:r>
          </w:p>
        </w:tc>
        <w:tc>
          <w:tcPr>
            <w:tcW w:w="1553" w:type="dxa"/>
            <w:vAlign w:val="center"/>
          </w:tcPr>
          <w:p w14:paraId="591E92CA" w14:textId="77777777" w:rsidR="00801302" w:rsidRPr="00E97FCD" w:rsidRDefault="00301C91" w:rsidP="00E97FCD">
            <w:pPr>
              <w:tabs>
                <w:tab w:val="left" w:pos="1843"/>
              </w:tabs>
              <w:spacing w:line="276" w:lineRule="auto"/>
              <w:contextualSpacing/>
              <w:jc w:val="center"/>
              <w:rPr>
                <w:rFonts w:ascii="Times New Roman" w:hAnsi="Times New Roman" w:cs="Times New Roman"/>
                <w:sz w:val="20"/>
                <w:szCs w:val="20"/>
                <w:lang w:val="en-US"/>
              </w:rPr>
            </w:pPr>
            <w:r>
              <w:rPr>
                <w:rFonts w:ascii="Times New Roman" w:hAnsi="Times New Roman" w:cs="Times New Roman"/>
                <w:sz w:val="18"/>
                <w:szCs w:val="28"/>
              </w:rPr>
              <w:t>Finland [8</w:t>
            </w:r>
            <w:r w:rsidR="00C33DB3" w:rsidRPr="00C33DB3">
              <w:rPr>
                <w:rFonts w:ascii="Times New Roman" w:hAnsi="Times New Roman" w:cs="Times New Roman"/>
                <w:sz w:val="18"/>
                <w:szCs w:val="28"/>
              </w:rPr>
              <w:t>]</w:t>
            </w:r>
          </w:p>
        </w:tc>
      </w:tr>
      <w:tr w:rsidR="00801302" w:rsidRPr="00512688" w14:paraId="2151E930" w14:textId="77777777" w:rsidTr="00206D8C">
        <w:trPr>
          <w:jc w:val="center"/>
        </w:trPr>
        <w:tc>
          <w:tcPr>
            <w:tcW w:w="355" w:type="dxa"/>
            <w:vAlign w:val="center"/>
          </w:tcPr>
          <w:p w14:paraId="5CBEF7DD" w14:textId="77777777" w:rsidR="00801302" w:rsidRPr="00512688" w:rsidRDefault="00801302" w:rsidP="009C1B95">
            <w:pPr>
              <w:tabs>
                <w:tab w:val="left" w:pos="1843"/>
              </w:tabs>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2240" w:type="dxa"/>
            <w:vAlign w:val="center"/>
          </w:tcPr>
          <w:p w14:paraId="2537C688" w14:textId="77777777" w:rsidR="00801302" w:rsidRPr="00C33DB3" w:rsidRDefault="00C33DB3" w:rsidP="009C1B95">
            <w:pPr>
              <w:tabs>
                <w:tab w:val="left" w:pos="1843"/>
              </w:tabs>
              <w:spacing w:line="276" w:lineRule="auto"/>
              <w:contextualSpacing/>
              <w:jc w:val="center"/>
              <w:rPr>
                <w:rFonts w:ascii="Times New Roman" w:hAnsi="Times New Roman" w:cs="Times New Roman"/>
                <w:sz w:val="20"/>
                <w:szCs w:val="20"/>
                <w:lang w:val="en-US"/>
              </w:rPr>
            </w:pPr>
            <w:r w:rsidRPr="00C33DB3">
              <w:rPr>
                <w:rFonts w:ascii="Times New Roman" w:hAnsi="Times New Roman" w:cs="Times New Roman"/>
                <w:sz w:val="20"/>
                <w:szCs w:val="20"/>
                <w:lang w:val="en-US"/>
              </w:rPr>
              <w:t>Informational interaction of financial authorities and institutions</w:t>
            </w:r>
          </w:p>
        </w:tc>
        <w:tc>
          <w:tcPr>
            <w:tcW w:w="2977" w:type="dxa"/>
            <w:vAlign w:val="center"/>
          </w:tcPr>
          <w:p w14:paraId="67C822CD" w14:textId="77777777" w:rsidR="00801302" w:rsidRPr="00C33DB3" w:rsidRDefault="00C33DB3" w:rsidP="00D23A30">
            <w:pPr>
              <w:pStyle w:val="ListParagraph"/>
              <w:numPr>
                <w:ilvl w:val="0"/>
                <w:numId w:val="11"/>
              </w:numPr>
              <w:tabs>
                <w:tab w:val="left" w:pos="250"/>
                <w:tab w:val="left" w:pos="1843"/>
              </w:tabs>
              <w:spacing w:line="276" w:lineRule="auto"/>
              <w:ind w:left="94" w:right="-10" w:hanging="59"/>
              <w:jc w:val="center"/>
              <w:rPr>
                <w:rFonts w:ascii="Times New Roman" w:hAnsi="Times New Roman" w:cs="Times New Roman"/>
                <w:sz w:val="20"/>
                <w:szCs w:val="20"/>
                <w:lang w:val="en-US"/>
              </w:rPr>
            </w:pPr>
            <w:r w:rsidRPr="00C33DB3">
              <w:rPr>
                <w:rFonts w:ascii="Times New Roman" w:hAnsi="Times New Roman" w:cs="Times New Roman"/>
                <w:sz w:val="20"/>
                <w:szCs w:val="20"/>
                <w:lang w:val="en-US"/>
              </w:rPr>
              <w:t>Two-stage interaction (between a client and a financial institution, and between the financial institution and a financial monitoring unit)</w:t>
            </w:r>
            <w:r w:rsidR="00801302" w:rsidRPr="00C33DB3">
              <w:rPr>
                <w:rFonts w:ascii="Times New Roman" w:hAnsi="Times New Roman" w:cs="Times New Roman"/>
                <w:sz w:val="20"/>
                <w:szCs w:val="20"/>
                <w:lang w:val="en-US"/>
              </w:rPr>
              <w:t>;</w:t>
            </w:r>
          </w:p>
          <w:p w14:paraId="03EBF2AF" w14:textId="77777777" w:rsidR="00801302" w:rsidRPr="00C33DB3" w:rsidRDefault="00C33DB3" w:rsidP="00D23A30">
            <w:pPr>
              <w:pStyle w:val="ListParagraph"/>
              <w:numPr>
                <w:ilvl w:val="0"/>
                <w:numId w:val="11"/>
              </w:numPr>
              <w:tabs>
                <w:tab w:val="left" w:pos="250"/>
                <w:tab w:val="left" w:pos="1843"/>
              </w:tabs>
              <w:spacing w:line="276" w:lineRule="auto"/>
              <w:ind w:left="94" w:right="-10" w:hanging="59"/>
              <w:jc w:val="center"/>
              <w:rPr>
                <w:rFonts w:ascii="Times New Roman" w:hAnsi="Times New Roman" w:cs="Times New Roman"/>
                <w:sz w:val="20"/>
                <w:szCs w:val="20"/>
                <w:lang w:val="en-US"/>
              </w:rPr>
            </w:pPr>
            <w:r w:rsidRPr="00C33DB3">
              <w:rPr>
                <w:rFonts w:ascii="Times New Roman" w:hAnsi="Times New Roman" w:cs="Times New Roman"/>
                <w:sz w:val="20"/>
                <w:szCs w:val="20"/>
                <w:lang w:val="en-US"/>
              </w:rPr>
              <w:t xml:space="preserve">Three-stage interaction (two stages mentioned above and </w:t>
            </w:r>
            <w:r w:rsidRPr="00C33DB3">
              <w:rPr>
                <w:rFonts w:ascii="Times New Roman" w:hAnsi="Times New Roman" w:cs="Times New Roman"/>
                <w:sz w:val="20"/>
                <w:szCs w:val="20"/>
                <w:lang w:val="en-US"/>
              </w:rPr>
              <w:lastRenderedPageBreak/>
              <w:t>interaction between a financial monitoring unit and financial authorities)</w:t>
            </w:r>
            <w:r>
              <w:rPr>
                <w:rFonts w:ascii="Times New Roman" w:hAnsi="Times New Roman" w:cs="Times New Roman"/>
                <w:sz w:val="20"/>
                <w:szCs w:val="20"/>
                <w:lang w:val="en-US"/>
              </w:rPr>
              <w:t>.</w:t>
            </w:r>
          </w:p>
        </w:tc>
        <w:tc>
          <w:tcPr>
            <w:tcW w:w="2598" w:type="dxa"/>
            <w:vAlign w:val="center"/>
          </w:tcPr>
          <w:p w14:paraId="0DC9DFBF" w14:textId="77777777" w:rsidR="00801302" w:rsidRPr="00512688" w:rsidRDefault="00C33DB3" w:rsidP="00D23A30">
            <w:pPr>
              <w:pStyle w:val="ListParagraph"/>
              <w:numPr>
                <w:ilvl w:val="0"/>
                <w:numId w:val="12"/>
              </w:numPr>
              <w:tabs>
                <w:tab w:val="left" w:pos="209"/>
              </w:tabs>
              <w:spacing w:line="276" w:lineRule="auto"/>
              <w:ind w:left="94" w:right="-87" w:hanging="59"/>
              <w:jc w:val="center"/>
              <w:rPr>
                <w:rFonts w:ascii="Times New Roman" w:hAnsi="Times New Roman" w:cs="Times New Roman"/>
                <w:sz w:val="20"/>
                <w:szCs w:val="20"/>
              </w:rPr>
            </w:pPr>
            <w:r w:rsidRPr="00C33DB3">
              <w:rPr>
                <w:rFonts w:ascii="Times New Roman" w:hAnsi="Times New Roman" w:cs="Times New Roman"/>
                <w:sz w:val="20"/>
                <w:szCs w:val="20"/>
              </w:rPr>
              <w:lastRenderedPageBreak/>
              <w:t>GB, Austria, Germany</w:t>
            </w:r>
            <w:r w:rsidR="00801302" w:rsidRPr="00512688">
              <w:rPr>
                <w:rFonts w:ascii="Times New Roman" w:hAnsi="Times New Roman" w:cs="Times New Roman"/>
                <w:sz w:val="20"/>
                <w:szCs w:val="20"/>
              </w:rPr>
              <w:t>;</w:t>
            </w:r>
          </w:p>
          <w:p w14:paraId="14995065" w14:textId="77777777" w:rsidR="00801302" w:rsidRPr="00512688" w:rsidRDefault="00C33DB3" w:rsidP="00D23A30">
            <w:pPr>
              <w:pStyle w:val="ListParagraph"/>
              <w:numPr>
                <w:ilvl w:val="0"/>
                <w:numId w:val="12"/>
              </w:numPr>
              <w:tabs>
                <w:tab w:val="left" w:pos="209"/>
              </w:tabs>
              <w:spacing w:line="276" w:lineRule="auto"/>
              <w:ind w:left="94" w:right="-87" w:hanging="59"/>
              <w:jc w:val="center"/>
              <w:rPr>
                <w:rFonts w:ascii="Times New Roman" w:hAnsi="Times New Roman" w:cs="Times New Roman"/>
                <w:sz w:val="20"/>
                <w:szCs w:val="20"/>
              </w:rPr>
            </w:pPr>
            <w:r w:rsidRPr="00C33DB3">
              <w:rPr>
                <w:rFonts w:ascii="Times New Roman" w:hAnsi="Times New Roman" w:cs="Times New Roman"/>
                <w:sz w:val="20"/>
                <w:szCs w:val="20"/>
              </w:rPr>
              <w:t>Russia, CIS countries</w:t>
            </w:r>
            <w:r w:rsidR="00801302" w:rsidRPr="00512688">
              <w:rPr>
                <w:rFonts w:ascii="Times New Roman" w:hAnsi="Times New Roman" w:cs="Times New Roman"/>
                <w:sz w:val="20"/>
                <w:szCs w:val="20"/>
              </w:rPr>
              <w:t>.</w:t>
            </w:r>
          </w:p>
        </w:tc>
        <w:tc>
          <w:tcPr>
            <w:tcW w:w="1553" w:type="dxa"/>
            <w:vAlign w:val="center"/>
          </w:tcPr>
          <w:p w14:paraId="58ADFA66" w14:textId="77777777" w:rsidR="00C33DB3" w:rsidRPr="00C33DB3" w:rsidRDefault="002A2E6F" w:rsidP="00C33DB3">
            <w:pPr>
              <w:tabs>
                <w:tab w:val="left" w:pos="1843"/>
              </w:tabs>
              <w:contextualSpacing/>
              <w:jc w:val="center"/>
              <w:rPr>
                <w:rFonts w:ascii="Times New Roman" w:hAnsi="Times New Roman" w:cs="Times New Roman"/>
                <w:sz w:val="20"/>
                <w:szCs w:val="20"/>
              </w:rPr>
            </w:pPr>
            <w:r>
              <w:rPr>
                <w:rFonts w:ascii="Times New Roman" w:hAnsi="Times New Roman" w:cs="Times New Roman"/>
                <w:sz w:val="20"/>
                <w:szCs w:val="20"/>
              </w:rPr>
              <w:t>GB [4,5</w:t>
            </w:r>
            <w:r w:rsidR="00C33DB3" w:rsidRPr="00C33DB3">
              <w:rPr>
                <w:rFonts w:ascii="Times New Roman" w:hAnsi="Times New Roman" w:cs="Times New Roman"/>
                <w:sz w:val="20"/>
                <w:szCs w:val="20"/>
              </w:rPr>
              <w:t>]</w:t>
            </w:r>
          </w:p>
          <w:p w14:paraId="256BEE60" w14:textId="77777777" w:rsidR="00C33DB3" w:rsidRPr="00C33DB3" w:rsidRDefault="002A2E6F" w:rsidP="00C33DB3">
            <w:pPr>
              <w:tabs>
                <w:tab w:val="left" w:pos="1843"/>
              </w:tabs>
              <w:contextualSpacing/>
              <w:jc w:val="center"/>
              <w:rPr>
                <w:rFonts w:ascii="Times New Roman" w:hAnsi="Times New Roman" w:cs="Times New Roman"/>
                <w:sz w:val="20"/>
                <w:szCs w:val="20"/>
              </w:rPr>
            </w:pPr>
            <w:r>
              <w:rPr>
                <w:rFonts w:ascii="Times New Roman" w:hAnsi="Times New Roman" w:cs="Times New Roman"/>
                <w:sz w:val="20"/>
                <w:szCs w:val="20"/>
              </w:rPr>
              <w:t>Germany [5</w:t>
            </w:r>
            <w:r w:rsidR="00C33DB3" w:rsidRPr="00C33DB3">
              <w:rPr>
                <w:rFonts w:ascii="Times New Roman" w:hAnsi="Times New Roman" w:cs="Times New Roman"/>
                <w:sz w:val="20"/>
                <w:szCs w:val="20"/>
              </w:rPr>
              <w:t>]</w:t>
            </w:r>
          </w:p>
          <w:p w14:paraId="38A4B21E" w14:textId="77777777" w:rsidR="00E97FCD" w:rsidRPr="00E97FCD" w:rsidRDefault="00E97FCD" w:rsidP="002A2E6F">
            <w:pPr>
              <w:tabs>
                <w:tab w:val="left" w:pos="1843"/>
              </w:tabs>
              <w:spacing w:line="276" w:lineRule="auto"/>
              <w:contextualSpacing/>
              <w:rPr>
                <w:rFonts w:ascii="Times New Roman" w:hAnsi="Times New Roman" w:cs="Times New Roman"/>
                <w:sz w:val="20"/>
                <w:szCs w:val="20"/>
                <w:lang w:val="en-US"/>
              </w:rPr>
            </w:pPr>
          </w:p>
        </w:tc>
      </w:tr>
    </w:tbl>
    <w:p w14:paraId="5E6BAA6E" w14:textId="77777777" w:rsidR="00CC722B" w:rsidRPr="00D91D9F" w:rsidRDefault="00CC722B" w:rsidP="00E97FCD">
      <w:pPr>
        <w:tabs>
          <w:tab w:val="left" w:pos="1843"/>
        </w:tabs>
        <w:spacing w:line="240" w:lineRule="auto"/>
        <w:contextualSpacing/>
        <w:jc w:val="both"/>
        <w:rPr>
          <w:rFonts w:ascii="Times New Roman" w:hAnsi="Times New Roman" w:cs="Times New Roman"/>
          <w:color w:val="FF0000"/>
          <w:sz w:val="18"/>
          <w:szCs w:val="28"/>
        </w:rPr>
      </w:pPr>
    </w:p>
    <w:p w14:paraId="63762F8D" w14:textId="414D2B51" w:rsidR="00740235" w:rsidRPr="00E75D66" w:rsidRDefault="00C33DB3" w:rsidP="00C03B8C">
      <w:pPr>
        <w:tabs>
          <w:tab w:val="left" w:pos="1843"/>
        </w:tabs>
        <w:spacing w:after="0" w:line="360" w:lineRule="auto"/>
        <w:contextualSpacing/>
        <w:jc w:val="both"/>
        <w:rPr>
          <w:rFonts w:ascii="Times New Roman" w:hAnsi="Times New Roman" w:cs="Times New Roman"/>
          <w:sz w:val="28"/>
          <w:szCs w:val="28"/>
          <w:lang w:val="en-US"/>
        </w:rPr>
      </w:pPr>
      <w:r w:rsidRPr="0002301A">
        <w:rPr>
          <w:rFonts w:ascii="Times New Roman" w:hAnsi="Times New Roman" w:cs="Times New Roman"/>
          <w:sz w:val="28"/>
          <w:szCs w:val="28"/>
          <w:lang w:val="en-US"/>
        </w:rPr>
        <w:t xml:space="preserve">Regarding identification of beneficiaries (section 2 of Table 1), the first approach seems to be more promising and effective. It insures transparency of national economy and ownership structure. Cash-flow monitoring (section 3) is important due to the fact that in developed countries most part of current payments is non-cash. Circulation of large sums of cash lead to suspicion in </w:t>
      </w:r>
      <w:r w:rsidR="00D66F43" w:rsidRPr="0002301A">
        <w:rPr>
          <w:rFonts w:ascii="Times New Roman" w:hAnsi="Times New Roman" w:cs="Times New Roman"/>
          <w:sz w:val="28"/>
          <w:szCs w:val="28"/>
          <w:lang w:val="en-US"/>
        </w:rPr>
        <w:t>its</w:t>
      </w:r>
      <w:r w:rsidRPr="0002301A">
        <w:rPr>
          <w:rFonts w:ascii="Times New Roman" w:hAnsi="Times New Roman" w:cs="Times New Roman"/>
          <w:sz w:val="28"/>
          <w:szCs w:val="28"/>
          <w:lang w:val="en-US"/>
        </w:rPr>
        <w:t xml:space="preserve"> illegal origin. </w:t>
      </w:r>
      <w:r w:rsidR="00C03B8C">
        <w:rPr>
          <w:rFonts w:ascii="Times New Roman" w:hAnsi="Times New Roman" w:cs="Times New Roman"/>
          <w:sz w:val="28"/>
          <w:szCs w:val="28"/>
          <w:lang w:val="en-US"/>
        </w:rPr>
        <w:t xml:space="preserve">Besides, as for the first approach to </w:t>
      </w:r>
      <w:r w:rsidRPr="0002301A">
        <w:rPr>
          <w:rFonts w:ascii="Times New Roman" w:hAnsi="Times New Roman" w:cs="Times New Roman"/>
          <w:sz w:val="28"/>
          <w:szCs w:val="28"/>
          <w:lang w:val="en-US"/>
        </w:rPr>
        <w:t xml:space="preserve">providing information to a financial monitoring unit, the result is </w:t>
      </w:r>
      <w:r w:rsidR="00C03B8C">
        <w:rPr>
          <w:rFonts w:ascii="Times New Roman" w:hAnsi="Times New Roman" w:cs="Times New Roman"/>
          <w:sz w:val="28"/>
          <w:szCs w:val="28"/>
          <w:lang w:val="en-US"/>
        </w:rPr>
        <w:t>more or less</w:t>
      </w:r>
      <w:r w:rsidRPr="0002301A">
        <w:rPr>
          <w:rFonts w:ascii="Times New Roman" w:hAnsi="Times New Roman" w:cs="Times New Roman"/>
          <w:sz w:val="28"/>
          <w:szCs w:val="28"/>
          <w:lang w:val="en-US"/>
        </w:rPr>
        <w:t xml:space="preserve"> informative workload for financial monitoring units</w:t>
      </w:r>
      <w:r w:rsidR="00740235" w:rsidRPr="00E75D66">
        <w:rPr>
          <w:rFonts w:ascii="Times New Roman" w:hAnsi="Times New Roman" w:cs="Times New Roman"/>
          <w:sz w:val="28"/>
          <w:szCs w:val="28"/>
          <w:lang w:val="en-US"/>
        </w:rPr>
        <w:t xml:space="preserve">. </w:t>
      </w:r>
    </w:p>
    <w:p w14:paraId="480B1C26" w14:textId="2415F2B3" w:rsidR="00E97FCD" w:rsidRPr="00C36D9C" w:rsidRDefault="00EC2FEC" w:rsidP="00C03B8C">
      <w:pPr>
        <w:tabs>
          <w:tab w:val="left" w:pos="1843"/>
        </w:tabs>
        <w:spacing w:after="0" w:line="360" w:lineRule="auto"/>
        <w:contextualSpacing/>
        <w:jc w:val="both"/>
        <w:rPr>
          <w:rFonts w:ascii="Times New Roman" w:hAnsi="Times New Roman" w:cs="Times New Roman"/>
          <w:sz w:val="28"/>
          <w:szCs w:val="28"/>
          <w:lang w:val="en-US"/>
        </w:rPr>
      </w:pPr>
      <w:r w:rsidRPr="00EC2FEC">
        <w:rPr>
          <w:rFonts w:ascii="Times New Roman" w:hAnsi="Times New Roman" w:cs="Times New Roman"/>
          <w:sz w:val="28"/>
          <w:szCs w:val="28"/>
          <w:lang w:val="en-US"/>
        </w:rPr>
        <w:t>Compliance of the internal AML / CFT system with the legislative</w:t>
      </w:r>
      <w:r>
        <w:rPr>
          <w:rFonts w:ascii="Times New Roman" w:hAnsi="Times New Roman" w:cs="Times New Roman"/>
          <w:sz w:val="28"/>
          <w:szCs w:val="28"/>
          <w:lang w:val="en-US"/>
        </w:rPr>
        <w:t xml:space="preserve"> </w:t>
      </w:r>
      <w:r w:rsidRPr="00EC2FEC">
        <w:rPr>
          <w:rFonts w:ascii="Times New Roman" w:hAnsi="Times New Roman" w:cs="Times New Roman"/>
          <w:sz w:val="28"/>
          <w:szCs w:val="28"/>
          <w:lang w:val="en-US"/>
        </w:rPr>
        <w:t xml:space="preserve">requirements is achieved through the implementation of certain procedures. </w:t>
      </w:r>
      <w:r w:rsidR="00C36D9C">
        <w:rPr>
          <w:rFonts w:ascii="Times New Roman" w:hAnsi="Times New Roman" w:cs="Times New Roman"/>
          <w:sz w:val="28"/>
          <w:szCs w:val="28"/>
          <w:lang w:val="en-US"/>
        </w:rPr>
        <w:t>T</w:t>
      </w:r>
      <w:r w:rsidRPr="00EC2FEC">
        <w:rPr>
          <w:rFonts w:ascii="Times New Roman" w:hAnsi="Times New Roman" w:cs="Times New Roman"/>
          <w:sz w:val="28"/>
          <w:szCs w:val="28"/>
          <w:lang w:val="en-US"/>
        </w:rPr>
        <w:t xml:space="preserve">he international study of </w:t>
      </w:r>
      <w:r w:rsidR="00C36D9C">
        <w:rPr>
          <w:rFonts w:ascii="Times New Roman" w:hAnsi="Times New Roman" w:cs="Times New Roman"/>
          <w:sz w:val="28"/>
          <w:szCs w:val="28"/>
          <w:lang w:val="en-US"/>
        </w:rPr>
        <w:t xml:space="preserve">KPMG in </w:t>
      </w:r>
      <w:r w:rsidRPr="00EC2FEC">
        <w:rPr>
          <w:rFonts w:ascii="Times New Roman" w:hAnsi="Times New Roman" w:cs="Times New Roman"/>
          <w:sz w:val="28"/>
          <w:szCs w:val="28"/>
          <w:lang w:val="en-US"/>
        </w:rPr>
        <w:t>2014</w:t>
      </w:r>
      <w:r w:rsidR="00C36D9C" w:rsidRPr="00EC2FEC">
        <w:rPr>
          <w:rFonts w:ascii="Times New Roman" w:hAnsi="Times New Roman" w:cs="Times New Roman"/>
          <w:sz w:val="28"/>
          <w:szCs w:val="28"/>
          <w:lang w:val="en-US"/>
        </w:rPr>
        <w:t xml:space="preserve">, results of which are reflected in Figure 1, </w:t>
      </w:r>
      <w:r w:rsidRPr="00EC2FEC">
        <w:rPr>
          <w:rFonts w:ascii="Times New Roman" w:hAnsi="Times New Roman" w:cs="Times New Roman"/>
          <w:sz w:val="28"/>
          <w:szCs w:val="28"/>
          <w:lang w:val="en-US"/>
        </w:rPr>
        <w:t>shows</w:t>
      </w:r>
      <w:r w:rsidR="00C36D9C">
        <w:rPr>
          <w:rFonts w:ascii="Times New Roman" w:hAnsi="Times New Roman" w:cs="Times New Roman"/>
          <w:sz w:val="28"/>
          <w:szCs w:val="28"/>
          <w:lang w:val="en-US"/>
        </w:rPr>
        <w:t xml:space="preserve"> that </w:t>
      </w:r>
      <w:r w:rsidRPr="00EC2FEC">
        <w:rPr>
          <w:rFonts w:ascii="Times New Roman" w:hAnsi="Times New Roman" w:cs="Times New Roman"/>
          <w:sz w:val="28"/>
          <w:szCs w:val="28"/>
          <w:lang w:val="en-US"/>
        </w:rPr>
        <w:t>the most common and costly measures are provid</w:t>
      </w:r>
      <w:r w:rsidR="00C36D9C">
        <w:rPr>
          <w:rFonts w:ascii="Times New Roman" w:hAnsi="Times New Roman" w:cs="Times New Roman"/>
          <w:sz w:val="28"/>
          <w:szCs w:val="28"/>
          <w:lang w:val="en-US"/>
        </w:rPr>
        <w:t>ing</w:t>
      </w:r>
      <w:r w:rsidRPr="00EC2FEC">
        <w:rPr>
          <w:rFonts w:ascii="Times New Roman" w:hAnsi="Times New Roman" w:cs="Times New Roman"/>
          <w:sz w:val="28"/>
          <w:szCs w:val="28"/>
          <w:lang w:val="en-US"/>
        </w:rPr>
        <w:t xml:space="preserve"> KYC and improv</w:t>
      </w:r>
      <w:r w:rsidR="00C36D9C">
        <w:rPr>
          <w:rFonts w:ascii="Times New Roman" w:hAnsi="Times New Roman" w:cs="Times New Roman"/>
          <w:sz w:val="28"/>
          <w:szCs w:val="28"/>
          <w:lang w:val="en-US"/>
        </w:rPr>
        <w:t>ing</w:t>
      </w:r>
      <w:r w:rsidRPr="00EC2FEC">
        <w:rPr>
          <w:rFonts w:ascii="Times New Roman" w:hAnsi="Times New Roman" w:cs="Times New Roman"/>
          <w:sz w:val="28"/>
          <w:szCs w:val="28"/>
          <w:lang w:val="en-US"/>
        </w:rPr>
        <w:t xml:space="preserve"> the system of transaction monitoring</w:t>
      </w:r>
      <w:r w:rsidR="00E93E57" w:rsidRPr="00E93E57">
        <w:rPr>
          <w:rFonts w:ascii="Times New Roman" w:hAnsi="Times New Roman" w:cs="Times New Roman"/>
          <w:sz w:val="28"/>
          <w:szCs w:val="28"/>
          <w:lang w:val="en-US"/>
        </w:rPr>
        <w:t xml:space="preserve">  (</w:t>
      </w:r>
      <w:r w:rsidR="00E93E57">
        <w:rPr>
          <w:rFonts w:ascii="Times New Roman" w:hAnsi="Times New Roman" w:cs="Times New Roman"/>
          <w:sz w:val="28"/>
          <w:szCs w:val="28"/>
          <w:lang w:val="en-US"/>
        </w:rPr>
        <w:t>Fig 1)</w:t>
      </w:r>
      <w:r w:rsidRPr="00EC2FEC">
        <w:rPr>
          <w:rFonts w:ascii="Times New Roman" w:hAnsi="Times New Roman" w:cs="Times New Roman"/>
          <w:sz w:val="28"/>
          <w:szCs w:val="28"/>
          <w:lang w:val="en-US"/>
        </w:rPr>
        <w:t>.</w:t>
      </w:r>
    </w:p>
    <w:p w14:paraId="6D43B52B" w14:textId="77777777" w:rsidR="00DD308B" w:rsidRDefault="00DD308B" w:rsidP="00DD308B">
      <w:pPr>
        <w:keepNext/>
      </w:pPr>
      <w:r>
        <w:rPr>
          <w:noProof/>
          <w:lang w:val="en-US" w:eastAsia="en-US"/>
        </w:rPr>
        <w:drawing>
          <wp:inline distT="0" distB="0" distL="0" distR="0" wp14:anchorId="7F1AC695" wp14:editId="41413179">
            <wp:extent cx="6120130" cy="2358529"/>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8A2AE1" w14:textId="327878C0" w:rsidR="00B260A8" w:rsidRPr="00E75D66" w:rsidRDefault="00DD308B" w:rsidP="00507CC7">
      <w:pPr>
        <w:pStyle w:val="Caption"/>
        <w:jc w:val="center"/>
        <w:rPr>
          <w:rFonts w:ascii="Times New Roman" w:hAnsi="Times New Roman" w:cs="Times New Roman"/>
          <w:i w:val="0"/>
          <w:color w:val="auto"/>
          <w:sz w:val="20"/>
          <w:szCs w:val="20"/>
          <w:lang w:val="en-US"/>
        </w:rPr>
      </w:pPr>
      <w:r w:rsidRPr="00E75D66">
        <w:rPr>
          <w:rFonts w:ascii="Times New Roman" w:hAnsi="Times New Roman" w:cs="Times New Roman"/>
          <w:i w:val="0"/>
          <w:color w:val="auto"/>
          <w:sz w:val="20"/>
          <w:szCs w:val="20"/>
          <w:lang w:val="en-US"/>
        </w:rPr>
        <w:t xml:space="preserve">Figure </w:t>
      </w:r>
      <w:r w:rsidR="00B52F90" w:rsidRPr="00B260A8">
        <w:rPr>
          <w:rFonts w:ascii="Times New Roman" w:hAnsi="Times New Roman" w:cs="Times New Roman"/>
          <w:i w:val="0"/>
          <w:color w:val="auto"/>
          <w:sz w:val="20"/>
          <w:szCs w:val="20"/>
        </w:rPr>
        <w:fldChar w:fldCharType="begin"/>
      </w:r>
      <w:r w:rsidRPr="00E75D66">
        <w:rPr>
          <w:rFonts w:ascii="Times New Roman" w:hAnsi="Times New Roman" w:cs="Times New Roman"/>
          <w:i w:val="0"/>
          <w:color w:val="auto"/>
          <w:sz w:val="20"/>
          <w:szCs w:val="20"/>
          <w:lang w:val="en-US"/>
        </w:rPr>
        <w:instrText xml:space="preserve"> SEQ Figure \* ARABIC </w:instrText>
      </w:r>
      <w:r w:rsidR="00B52F90" w:rsidRPr="00B260A8">
        <w:rPr>
          <w:rFonts w:ascii="Times New Roman" w:hAnsi="Times New Roman" w:cs="Times New Roman"/>
          <w:i w:val="0"/>
          <w:color w:val="auto"/>
          <w:sz w:val="20"/>
          <w:szCs w:val="20"/>
        </w:rPr>
        <w:fldChar w:fldCharType="separate"/>
      </w:r>
      <w:r w:rsidR="00B260A8" w:rsidRPr="00E75D66">
        <w:rPr>
          <w:rFonts w:ascii="Times New Roman" w:hAnsi="Times New Roman" w:cs="Times New Roman"/>
          <w:i w:val="0"/>
          <w:noProof/>
          <w:color w:val="auto"/>
          <w:sz w:val="20"/>
          <w:szCs w:val="20"/>
          <w:lang w:val="en-US"/>
        </w:rPr>
        <w:t>1</w:t>
      </w:r>
      <w:r w:rsidR="00B52F90" w:rsidRPr="00B260A8">
        <w:rPr>
          <w:rFonts w:ascii="Times New Roman" w:hAnsi="Times New Roman" w:cs="Times New Roman"/>
          <w:i w:val="0"/>
          <w:color w:val="auto"/>
          <w:sz w:val="20"/>
          <w:szCs w:val="20"/>
        </w:rPr>
        <w:fldChar w:fldCharType="end"/>
      </w:r>
      <w:r w:rsidRPr="00E75D66">
        <w:rPr>
          <w:rFonts w:ascii="Times New Roman" w:hAnsi="Times New Roman" w:cs="Times New Roman"/>
          <w:i w:val="0"/>
          <w:color w:val="auto"/>
          <w:sz w:val="20"/>
          <w:szCs w:val="20"/>
          <w:lang w:val="en-US"/>
        </w:rPr>
        <w:t xml:space="preserve"> </w:t>
      </w:r>
      <w:r w:rsidR="00507CC7" w:rsidRPr="00507CC7">
        <w:rPr>
          <w:rFonts w:ascii="Times New Roman" w:hAnsi="Times New Roman" w:cs="Times New Roman"/>
          <w:sz w:val="20"/>
          <w:szCs w:val="20"/>
          <w:lang w:val="en-US"/>
        </w:rPr>
        <w:t xml:space="preserve">—  </w:t>
      </w:r>
      <w:r w:rsidR="0015698E">
        <w:rPr>
          <w:rFonts w:ascii="Times New Roman" w:hAnsi="Times New Roman" w:cs="Times New Roman"/>
          <w:i w:val="0"/>
          <w:color w:val="auto"/>
          <w:sz w:val="20"/>
          <w:szCs w:val="20"/>
          <w:lang w:val="en-US"/>
        </w:rPr>
        <w:t>Expenses on activities in the field of AML/CFT</w:t>
      </w:r>
      <w:r w:rsidR="00B5371F">
        <w:rPr>
          <w:rFonts w:ascii="Times New Roman" w:hAnsi="Times New Roman" w:cs="Times New Roman"/>
          <w:i w:val="0"/>
          <w:color w:val="auto"/>
          <w:sz w:val="20"/>
          <w:szCs w:val="20"/>
          <w:lang w:val="en-US"/>
        </w:rPr>
        <w:t>, % of companies [9]</w:t>
      </w:r>
    </w:p>
    <w:p w14:paraId="249BE81C" w14:textId="392B94D5" w:rsidR="00E97FCD" w:rsidRPr="00804387" w:rsidRDefault="00BD78B8" w:rsidP="00C03B8C">
      <w:pPr>
        <w:tabs>
          <w:tab w:val="left" w:pos="1843"/>
        </w:tabs>
        <w:spacing w:after="0" w:line="360" w:lineRule="auto"/>
        <w:contextualSpacing/>
        <w:jc w:val="both"/>
        <w:rPr>
          <w:rFonts w:ascii="Times New Roman" w:hAnsi="Times New Roman" w:cs="Times New Roman"/>
          <w:sz w:val="28"/>
          <w:szCs w:val="28"/>
          <w:lang w:val="en-US"/>
        </w:rPr>
      </w:pPr>
      <w:r w:rsidRPr="00BD78B8">
        <w:rPr>
          <w:rFonts w:ascii="Times New Roman" w:hAnsi="Times New Roman" w:cs="Times New Roman"/>
          <w:sz w:val="28"/>
          <w:szCs w:val="28"/>
          <w:lang w:val="en-US"/>
        </w:rPr>
        <w:t xml:space="preserve">By 2016, as shown in Figure 2, only additional measures </w:t>
      </w:r>
      <w:r>
        <w:rPr>
          <w:rFonts w:ascii="Times New Roman" w:hAnsi="Times New Roman" w:cs="Times New Roman"/>
          <w:sz w:val="28"/>
          <w:szCs w:val="28"/>
          <w:lang w:val="en-US"/>
        </w:rPr>
        <w:t>of</w:t>
      </w:r>
      <w:r w:rsidRPr="00BD78B8">
        <w:rPr>
          <w:rFonts w:ascii="Times New Roman" w:hAnsi="Times New Roman" w:cs="Times New Roman"/>
          <w:sz w:val="28"/>
          <w:szCs w:val="28"/>
          <w:lang w:val="en-US"/>
        </w:rPr>
        <w:t xml:space="preserve"> monitor</w:t>
      </w:r>
      <w:r>
        <w:rPr>
          <w:rFonts w:ascii="Times New Roman" w:hAnsi="Times New Roman" w:cs="Times New Roman"/>
          <w:sz w:val="28"/>
          <w:szCs w:val="28"/>
          <w:lang w:val="en-US"/>
        </w:rPr>
        <w:t>ing</w:t>
      </w:r>
      <w:r w:rsidRPr="00BD78B8">
        <w:rPr>
          <w:rFonts w:ascii="Times New Roman" w:hAnsi="Times New Roman" w:cs="Times New Roman"/>
          <w:sz w:val="28"/>
          <w:szCs w:val="28"/>
          <w:lang w:val="en-US"/>
        </w:rPr>
        <w:t xml:space="preserve"> transactions </w:t>
      </w:r>
      <w:r w:rsidR="00C03B8C">
        <w:rPr>
          <w:rFonts w:ascii="Times New Roman" w:hAnsi="Times New Roman" w:cs="Times New Roman"/>
          <w:sz w:val="28"/>
          <w:szCs w:val="28"/>
          <w:lang w:val="en-US"/>
        </w:rPr>
        <w:t>had been</w:t>
      </w:r>
      <w:r w:rsidRPr="00BD78B8">
        <w:rPr>
          <w:rFonts w:ascii="Times New Roman" w:hAnsi="Times New Roman" w:cs="Times New Roman"/>
          <w:sz w:val="28"/>
          <w:szCs w:val="28"/>
          <w:lang w:val="en-US"/>
        </w:rPr>
        <w:t xml:space="preserve"> implemented, emphasis is </w:t>
      </w:r>
      <w:r w:rsidR="00C03B8C">
        <w:rPr>
          <w:rFonts w:ascii="Times New Roman" w:hAnsi="Times New Roman" w:cs="Times New Roman"/>
          <w:sz w:val="28"/>
          <w:szCs w:val="28"/>
          <w:lang w:val="en-US"/>
        </w:rPr>
        <w:t>put</w:t>
      </w:r>
      <w:r w:rsidRPr="00BD78B8">
        <w:rPr>
          <w:rFonts w:ascii="Times New Roman" w:hAnsi="Times New Roman" w:cs="Times New Roman"/>
          <w:sz w:val="28"/>
          <w:szCs w:val="28"/>
          <w:lang w:val="en-US"/>
        </w:rPr>
        <w:t xml:space="preserve"> on the quality of data (in 52% and 43% of companies, respectively), </w:t>
      </w:r>
      <w:r w:rsidR="00804387">
        <w:rPr>
          <w:rFonts w:ascii="Times New Roman" w:hAnsi="Times New Roman" w:cs="Times New Roman"/>
          <w:sz w:val="28"/>
          <w:szCs w:val="28"/>
          <w:lang w:val="en-US"/>
        </w:rPr>
        <w:t xml:space="preserve">and </w:t>
      </w:r>
      <w:r w:rsidRPr="00BD78B8">
        <w:rPr>
          <w:rFonts w:ascii="Times New Roman" w:hAnsi="Times New Roman" w:cs="Times New Roman"/>
          <w:sz w:val="28"/>
          <w:szCs w:val="28"/>
          <w:lang w:val="en-US"/>
        </w:rPr>
        <w:t xml:space="preserve">attention is already focused on the development of a systematic approach to AML / CFT. </w:t>
      </w:r>
      <w:r w:rsidRPr="00804387">
        <w:rPr>
          <w:rFonts w:ascii="Times New Roman" w:hAnsi="Times New Roman" w:cs="Times New Roman"/>
          <w:sz w:val="28"/>
          <w:szCs w:val="28"/>
          <w:lang w:val="en-US"/>
        </w:rPr>
        <w:t xml:space="preserve">For customers, 31% of companies prefer to avoid it in case of high risk, while </w:t>
      </w:r>
      <w:r w:rsidR="00804387">
        <w:rPr>
          <w:rFonts w:ascii="Times New Roman" w:hAnsi="Times New Roman" w:cs="Times New Roman"/>
          <w:sz w:val="28"/>
          <w:szCs w:val="28"/>
          <w:lang w:val="en-US"/>
        </w:rPr>
        <w:t>the requirements</w:t>
      </w:r>
      <w:r w:rsidR="00804387" w:rsidRPr="00804387">
        <w:rPr>
          <w:rFonts w:ascii="Times New Roman" w:hAnsi="Times New Roman" w:cs="Times New Roman"/>
          <w:sz w:val="28"/>
          <w:szCs w:val="28"/>
          <w:lang w:val="en-US"/>
        </w:rPr>
        <w:t xml:space="preserve"> KYC </w:t>
      </w:r>
      <w:r w:rsidRPr="00804387">
        <w:rPr>
          <w:rFonts w:ascii="Times New Roman" w:hAnsi="Times New Roman" w:cs="Times New Roman"/>
          <w:sz w:val="28"/>
          <w:szCs w:val="28"/>
          <w:lang w:val="en-US"/>
        </w:rPr>
        <w:t>for other segments are detailed</w:t>
      </w:r>
      <w:r w:rsidR="00804387">
        <w:rPr>
          <w:rFonts w:ascii="Times New Roman" w:hAnsi="Times New Roman" w:cs="Times New Roman"/>
          <w:sz w:val="28"/>
          <w:szCs w:val="28"/>
          <w:lang w:val="en-US"/>
        </w:rPr>
        <w:t xml:space="preserve"> </w:t>
      </w:r>
      <w:r w:rsidR="00804387" w:rsidRPr="00804387">
        <w:rPr>
          <w:rFonts w:ascii="Times New Roman" w:hAnsi="Times New Roman" w:cs="Times New Roman"/>
          <w:sz w:val="28"/>
          <w:szCs w:val="28"/>
          <w:lang w:val="en-US"/>
        </w:rPr>
        <w:t>(60%)</w:t>
      </w:r>
      <w:r w:rsidRPr="00804387">
        <w:rPr>
          <w:rFonts w:ascii="Times New Roman" w:hAnsi="Times New Roman" w:cs="Times New Roman"/>
          <w:sz w:val="28"/>
          <w:szCs w:val="28"/>
          <w:lang w:val="en-US"/>
        </w:rPr>
        <w:t>.</w:t>
      </w:r>
    </w:p>
    <w:p w14:paraId="0C244301" w14:textId="77777777" w:rsidR="00B260A8" w:rsidRDefault="00B260A8" w:rsidP="00B260A8">
      <w:pPr>
        <w:keepNext/>
      </w:pPr>
      <w:r>
        <w:rPr>
          <w:noProof/>
          <w:lang w:val="en-US" w:eastAsia="en-US"/>
        </w:rPr>
        <w:lastRenderedPageBreak/>
        <w:drawing>
          <wp:inline distT="0" distB="0" distL="0" distR="0" wp14:anchorId="7D13C5CC" wp14:editId="19B81DAC">
            <wp:extent cx="5704764" cy="3794078"/>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2B461E" w14:textId="40272C3C" w:rsidR="00B260A8" w:rsidRPr="00D23A30" w:rsidRDefault="00B260A8" w:rsidP="00507CC7">
      <w:pPr>
        <w:pStyle w:val="Caption"/>
        <w:jc w:val="center"/>
        <w:rPr>
          <w:rFonts w:ascii="Times New Roman" w:hAnsi="Times New Roman" w:cs="Times New Roman"/>
          <w:i w:val="0"/>
          <w:color w:val="auto"/>
          <w:sz w:val="20"/>
          <w:szCs w:val="20"/>
          <w:lang w:val="en-US"/>
        </w:rPr>
      </w:pPr>
      <w:r w:rsidRPr="004B1B33">
        <w:rPr>
          <w:rFonts w:ascii="Times New Roman" w:hAnsi="Times New Roman" w:cs="Times New Roman"/>
          <w:i w:val="0"/>
          <w:color w:val="auto"/>
          <w:sz w:val="20"/>
          <w:szCs w:val="20"/>
          <w:lang w:val="en-US"/>
        </w:rPr>
        <w:t xml:space="preserve">Figure </w:t>
      </w:r>
      <w:r w:rsidR="00B52F90" w:rsidRPr="00B260A8">
        <w:rPr>
          <w:rFonts w:ascii="Times New Roman" w:hAnsi="Times New Roman" w:cs="Times New Roman"/>
          <w:i w:val="0"/>
          <w:color w:val="auto"/>
          <w:sz w:val="20"/>
          <w:szCs w:val="20"/>
        </w:rPr>
        <w:fldChar w:fldCharType="begin"/>
      </w:r>
      <w:r w:rsidRPr="004B1B33">
        <w:rPr>
          <w:rFonts w:ascii="Times New Roman" w:hAnsi="Times New Roman" w:cs="Times New Roman"/>
          <w:i w:val="0"/>
          <w:color w:val="auto"/>
          <w:sz w:val="20"/>
          <w:szCs w:val="20"/>
          <w:lang w:val="en-US"/>
        </w:rPr>
        <w:instrText xml:space="preserve"> SEQ Figure \* ARABIC </w:instrText>
      </w:r>
      <w:r w:rsidR="00B52F90" w:rsidRPr="00B260A8">
        <w:rPr>
          <w:rFonts w:ascii="Times New Roman" w:hAnsi="Times New Roman" w:cs="Times New Roman"/>
          <w:i w:val="0"/>
          <w:color w:val="auto"/>
          <w:sz w:val="20"/>
          <w:szCs w:val="20"/>
        </w:rPr>
        <w:fldChar w:fldCharType="separate"/>
      </w:r>
      <w:r w:rsidRPr="004B1B33">
        <w:rPr>
          <w:rFonts w:ascii="Times New Roman" w:hAnsi="Times New Roman" w:cs="Times New Roman"/>
          <w:i w:val="0"/>
          <w:color w:val="auto"/>
          <w:sz w:val="20"/>
          <w:szCs w:val="20"/>
          <w:lang w:val="en-US"/>
        </w:rPr>
        <w:t>2</w:t>
      </w:r>
      <w:r w:rsidR="00B52F90" w:rsidRPr="00B260A8">
        <w:rPr>
          <w:rFonts w:ascii="Times New Roman" w:hAnsi="Times New Roman" w:cs="Times New Roman"/>
          <w:i w:val="0"/>
          <w:color w:val="auto"/>
          <w:sz w:val="20"/>
          <w:szCs w:val="20"/>
        </w:rPr>
        <w:fldChar w:fldCharType="end"/>
      </w:r>
      <w:r w:rsidR="00D23A30" w:rsidRPr="004B1B33">
        <w:rPr>
          <w:rFonts w:ascii="Times New Roman" w:hAnsi="Times New Roman" w:cs="Times New Roman"/>
          <w:i w:val="0"/>
          <w:color w:val="auto"/>
          <w:sz w:val="20"/>
          <w:szCs w:val="20"/>
          <w:lang w:val="en-US"/>
        </w:rPr>
        <w:t xml:space="preserve"> </w:t>
      </w:r>
      <w:r w:rsidR="00507CC7" w:rsidRPr="00507CC7">
        <w:rPr>
          <w:rFonts w:ascii="Times New Roman" w:hAnsi="Times New Roman" w:cs="Times New Roman"/>
          <w:sz w:val="20"/>
          <w:szCs w:val="20"/>
          <w:lang w:val="en-US"/>
        </w:rPr>
        <w:t xml:space="preserve">—  </w:t>
      </w:r>
      <w:r w:rsidR="00D23A30">
        <w:rPr>
          <w:rFonts w:ascii="Times New Roman" w:hAnsi="Times New Roman" w:cs="Times New Roman"/>
          <w:i w:val="0"/>
          <w:color w:val="auto"/>
          <w:sz w:val="20"/>
          <w:szCs w:val="20"/>
          <w:lang w:val="en-US"/>
        </w:rPr>
        <w:t>Measures to reduce AML/CFT risks</w:t>
      </w:r>
      <w:r w:rsidR="00B5371F">
        <w:rPr>
          <w:rFonts w:ascii="Times New Roman" w:hAnsi="Times New Roman" w:cs="Times New Roman"/>
          <w:i w:val="0"/>
          <w:color w:val="auto"/>
          <w:sz w:val="20"/>
          <w:szCs w:val="20"/>
          <w:lang w:val="en-US"/>
        </w:rPr>
        <w:t>, % of companies [10]</w:t>
      </w:r>
    </w:p>
    <w:p w14:paraId="252DD50D" w14:textId="3A51A407" w:rsidR="00BB7678" w:rsidRPr="00E75D66" w:rsidRDefault="00EB653E" w:rsidP="00C03B8C">
      <w:pPr>
        <w:tabs>
          <w:tab w:val="left" w:pos="1843"/>
        </w:tabs>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Recommendations</w:t>
      </w:r>
      <w:r w:rsidR="00194BBB">
        <w:rPr>
          <w:rFonts w:ascii="Times New Roman" w:hAnsi="Times New Roman" w:cs="Times New Roman"/>
          <w:sz w:val="28"/>
          <w:szCs w:val="28"/>
          <w:lang w:val="en-US"/>
        </w:rPr>
        <w:t xml:space="preserve"> and conclusion</w:t>
      </w:r>
      <w:r w:rsidRPr="004B1B3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E55EA" w:rsidRPr="008E55EA">
        <w:rPr>
          <w:rFonts w:ascii="Times New Roman" w:hAnsi="Times New Roman" w:cs="Times New Roman"/>
          <w:sz w:val="28"/>
          <w:szCs w:val="28"/>
          <w:lang w:val="en-US"/>
        </w:rPr>
        <w:t xml:space="preserve">Analysis of international and </w:t>
      </w:r>
      <w:r w:rsidR="00194BBB">
        <w:rPr>
          <w:rFonts w:ascii="Times New Roman" w:hAnsi="Times New Roman" w:cs="Times New Roman"/>
          <w:sz w:val="28"/>
          <w:szCs w:val="28"/>
          <w:lang w:val="en-US"/>
        </w:rPr>
        <w:t>R</w:t>
      </w:r>
      <w:r w:rsidR="008E55EA" w:rsidRPr="008E55EA">
        <w:rPr>
          <w:rFonts w:ascii="Times New Roman" w:hAnsi="Times New Roman" w:cs="Times New Roman"/>
          <w:sz w:val="28"/>
          <w:szCs w:val="28"/>
          <w:lang w:val="en-US"/>
        </w:rPr>
        <w:t>ussian experience</w:t>
      </w:r>
      <w:r w:rsidR="00295E9E">
        <w:rPr>
          <w:rFonts w:ascii="Times New Roman" w:hAnsi="Times New Roman" w:cs="Times New Roman"/>
          <w:sz w:val="28"/>
          <w:szCs w:val="28"/>
          <w:lang w:val="en-US"/>
        </w:rPr>
        <w:t xml:space="preserve"> </w:t>
      </w:r>
      <w:r w:rsidR="00295E9E" w:rsidRPr="00295E9E">
        <w:rPr>
          <w:rFonts w:ascii="Times New Roman" w:hAnsi="Times New Roman" w:cs="Times New Roman"/>
          <w:sz w:val="28"/>
          <w:szCs w:val="28"/>
          <w:lang w:val="en-US"/>
        </w:rPr>
        <w:t>confirm the need</w:t>
      </w:r>
      <w:r w:rsidR="008E55EA" w:rsidRPr="008E55EA">
        <w:rPr>
          <w:rFonts w:ascii="Times New Roman" w:hAnsi="Times New Roman" w:cs="Times New Roman"/>
          <w:sz w:val="28"/>
          <w:szCs w:val="28"/>
          <w:lang w:val="en-US"/>
        </w:rPr>
        <w:t xml:space="preserve"> in development of the AML / CFT regulation in</w:t>
      </w:r>
      <w:r w:rsidR="008E55EA">
        <w:rPr>
          <w:rFonts w:ascii="Times New Roman" w:hAnsi="Times New Roman" w:cs="Times New Roman"/>
          <w:sz w:val="28"/>
          <w:szCs w:val="28"/>
          <w:lang w:val="en-US"/>
        </w:rPr>
        <w:t xml:space="preserve"> </w:t>
      </w:r>
      <w:r w:rsidR="008E55EA" w:rsidRPr="008E55EA">
        <w:rPr>
          <w:rFonts w:ascii="Times New Roman" w:hAnsi="Times New Roman" w:cs="Times New Roman"/>
          <w:sz w:val="28"/>
          <w:szCs w:val="28"/>
          <w:lang w:val="en-US"/>
        </w:rPr>
        <w:t xml:space="preserve">organizations, </w:t>
      </w:r>
      <w:r w:rsidR="00295E9E">
        <w:rPr>
          <w:rFonts w:ascii="Times New Roman" w:hAnsi="Times New Roman" w:cs="Times New Roman"/>
          <w:sz w:val="28"/>
          <w:szCs w:val="28"/>
          <w:lang w:val="en-US"/>
        </w:rPr>
        <w:t>because</w:t>
      </w:r>
      <w:r w:rsidR="008E55EA" w:rsidRPr="008E55EA">
        <w:rPr>
          <w:rFonts w:ascii="Times New Roman" w:hAnsi="Times New Roman" w:cs="Times New Roman"/>
          <w:sz w:val="28"/>
          <w:szCs w:val="28"/>
          <w:lang w:val="en-US"/>
        </w:rPr>
        <w:t xml:space="preserve"> </w:t>
      </w:r>
      <w:r w:rsidR="00C03B8C">
        <w:rPr>
          <w:rFonts w:ascii="Times New Roman" w:hAnsi="Times New Roman" w:cs="Times New Roman"/>
          <w:sz w:val="28"/>
          <w:szCs w:val="28"/>
          <w:lang w:val="en-US"/>
        </w:rPr>
        <w:t xml:space="preserve">the </w:t>
      </w:r>
      <w:r w:rsidR="00295E9E">
        <w:rPr>
          <w:rFonts w:ascii="Times New Roman" w:hAnsi="Times New Roman" w:cs="Times New Roman"/>
          <w:sz w:val="28"/>
          <w:szCs w:val="28"/>
          <w:lang w:val="en-US"/>
        </w:rPr>
        <w:t xml:space="preserve">position of Russia </w:t>
      </w:r>
      <w:r w:rsidR="008E55EA" w:rsidRPr="008E55EA">
        <w:rPr>
          <w:rFonts w:ascii="Times New Roman" w:hAnsi="Times New Roman" w:cs="Times New Roman"/>
          <w:sz w:val="28"/>
          <w:szCs w:val="28"/>
          <w:lang w:val="en-US"/>
        </w:rPr>
        <w:t xml:space="preserve">in this direction </w:t>
      </w:r>
      <w:r w:rsidR="00295E9E">
        <w:rPr>
          <w:rFonts w:ascii="Times New Roman" w:hAnsi="Times New Roman" w:cs="Times New Roman"/>
          <w:sz w:val="28"/>
          <w:szCs w:val="28"/>
          <w:lang w:val="en-US"/>
        </w:rPr>
        <w:t>is far from</w:t>
      </w:r>
      <w:r w:rsidR="008E55EA" w:rsidRPr="008E55EA">
        <w:rPr>
          <w:rFonts w:ascii="Times New Roman" w:hAnsi="Times New Roman" w:cs="Times New Roman"/>
          <w:sz w:val="28"/>
          <w:szCs w:val="28"/>
          <w:lang w:val="en-US"/>
        </w:rPr>
        <w:t xml:space="preserve"> </w:t>
      </w:r>
      <w:r w:rsidR="00C03B8C">
        <w:rPr>
          <w:rFonts w:ascii="Times New Roman" w:hAnsi="Times New Roman" w:cs="Times New Roman"/>
          <w:sz w:val="28"/>
          <w:szCs w:val="28"/>
          <w:lang w:val="en-US"/>
        </w:rPr>
        <w:t xml:space="preserve">that of the </w:t>
      </w:r>
      <w:r w:rsidR="008E55EA" w:rsidRPr="008E55EA">
        <w:rPr>
          <w:rFonts w:ascii="Times New Roman" w:hAnsi="Times New Roman" w:cs="Times New Roman"/>
          <w:sz w:val="28"/>
          <w:szCs w:val="28"/>
          <w:lang w:val="en-US"/>
        </w:rPr>
        <w:t xml:space="preserve">leading countries. </w:t>
      </w:r>
      <w:r w:rsidR="00E75D66" w:rsidRPr="00E75D66">
        <w:rPr>
          <w:rFonts w:ascii="Times New Roman" w:hAnsi="Times New Roman" w:cs="Times New Roman"/>
          <w:sz w:val="28"/>
          <w:szCs w:val="28"/>
          <w:lang w:val="en-US"/>
        </w:rPr>
        <w:t xml:space="preserve">In modern conditions, implementation of compliance and internal </w:t>
      </w:r>
      <w:r w:rsidR="00E93E57">
        <w:rPr>
          <w:rFonts w:ascii="Times New Roman" w:hAnsi="Times New Roman" w:cs="Times New Roman"/>
          <w:sz w:val="28"/>
          <w:szCs w:val="28"/>
          <w:lang w:val="en-US"/>
        </w:rPr>
        <w:t>control procedures in the AML/</w:t>
      </w:r>
      <w:r w:rsidR="00E75D66" w:rsidRPr="00E75D66">
        <w:rPr>
          <w:rFonts w:ascii="Times New Roman" w:hAnsi="Times New Roman" w:cs="Times New Roman"/>
          <w:sz w:val="28"/>
          <w:szCs w:val="28"/>
          <w:lang w:val="en-US"/>
        </w:rPr>
        <w:t>CFT is not often profitable for companies</w:t>
      </w:r>
      <w:r w:rsidR="00C03B8C">
        <w:rPr>
          <w:rFonts w:ascii="Times New Roman" w:hAnsi="Times New Roman" w:cs="Times New Roman"/>
          <w:sz w:val="28"/>
          <w:szCs w:val="28"/>
          <w:lang w:val="en-US"/>
        </w:rPr>
        <w:t>,</w:t>
      </w:r>
      <w:r w:rsidR="00E75D66" w:rsidRPr="00E75D66">
        <w:rPr>
          <w:rFonts w:ascii="Times New Roman" w:hAnsi="Times New Roman" w:cs="Times New Roman"/>
          <w:sz w:val="28"/>
          <w:szCs w:val="28"/>
          <w:lang w:val="en-US"/>
        </w:rPr>
        <w:t xml:space="preserve"> and there are no recommendations and regulatory standards for some market segments at all.</w:t>
      </w:r>
    </w:p>
    <w:p w14:paraId="6A5319A1" w14:textId="7267140C" w:rsidR="00BB7678" w:rsidRPr="00E75D66" w:rsidRDefault="00E75D66" w:rsidP="00C03B8C">
      <w:pPr>
        <w:tabs>
          <w:tab w:val="left" w:pos="1843"/>
        </w:tabs>
        <w:spacing w:line="360" w:lineRule="auto"/>
        <w:contextualSpacing/>
        <w:jc w:val="both"/>
        <w:rPr>
          <w:rFonts w:ascii="Times New Roman" w:hAnsi="Times New Roman" w:cs="Times New Roman"/>
          <w:sz w:val="28"/>
          <w:szCs w:val="28"/>
          <w:lang w:val="en-US"/>
        </w:rPr>
      </w:pPr>
      <w:r w:rsidRPr="00E75D66">
        <w:rPr>
          <w:rFonts w:ascii="Times New Roman" w:hAnsi="Times New Roman" w:cs="Times New Roman"/>
          <w:sz w:val="28"/>
          <w:szCs w:val="28"/>
          <w:lang w:val="en-US"/>
        </w:rPr>
        <w:t>Thus, the effectiveness of the AML / CFT system can be ensured by increasing penalties for no</w:t>
      </w:r>
      <w:r w:rsidR="00C03B8C">
        <w:rPr>
          <w:rFonts w:ascii="Times New Roman" w:hAnsi="Times New Roman" w:cs="Times New Roman"/>
          <w:sz w:val="28"/>
          <w:szCs w:val="28"/>
          <w:lang w:val="en-US"/>
        </w:rPr>
        <w:t xml:space="preserve">t </w:t>
      </w:r>
      <w:r w:rsidRPr="00E75D66">
        <w:rPr>
          <w:rFonts w:ascii="Times New Roman" w:hAnsi="Times New Roman" w:cs="Times New Roman"/>
          <w:sz w:val="28"/>
          <w:szCs w:val="28"/>
          <w:lang w:val="en-US"/>
        </w:rPr>
        <w:t>informing the authorized state organization or inaction of institutions, which resulted the possibility of legalization of illegal funds, or criminal liability for up to five years, as in the UK.</w:t>
      </w:r>
    </w:p>
    <w:p w14:paraId="110B2163" w14:textId="174D5FCE" w:rsidR="00E75D66" w:rsidRPr="00E75D66" w:rsidRDefault="00E75D66" w:rsidP="00C03B8C">
      <w:pPr>
        <w:tabs>
          <w:tab w:val="left" w:pos="1843"/>
        </w:tabs>
        <w:spacing w:line="360" w:lineRule="auto"/>
        <w:contextualSpacing/>
        <w:jc w:val="both"/>
        <w:rPr>
          <w:rFonts w:ascii="Times New Roman" w:hAnsi="Times New Roman" w:cs="Times New Roman"/>
          <w:sz w:val="28"/>
          <w:szCs w:val="28"/>
          <w:lang w:val="en-US"/>
        </w:rPr>
      </w:pPr>
      <w:r w:rsidRPr="00E75D66">
        <w:rPr>
          <w:rFonts w:ascii="Times New Roman" w:hAnsi="Times New Roman" w:cs="Times New Roman"/>
          <w:sz w:val="28"/>
          <w:szCs w:val="28"/>
          <w:lang w:val="en-US"/>
        </w:rPr>
        <w:t xml:space="preserve">In addition, it is advisable to consider the experience of the UK in ensuring the effectiveness of cooperation of law-enforcement authorities, where there is a database that includes information about suspicious </w:t>
      </w:r>
      <w:r w:rsidR="00C03B8C">
        <w:rPr>
          <w:rFonts w:ascii="Times New Roman" w:hAnsi="Times New Roman" w:cs="Times New Roman"/>
          <w:sz w:val="28"/>
          <w:szCs w:val="28"/>
          <w:lang w:val="en-US"/>
        </w:rPr>
        <w:t>transactions;</w:t>
      </w:r>
      <w:r w:rsidRPr="00E75D66">
        <w:rPr>
          <w:rFonts w:ascii="Times New Roman" w:hAnsi="Times New Roman" w:cs="Times New Roman"/>
          <w:sz w:val="28"/>
          <w:szCs w:val="28"/>
          <w:lang w:val="en-US"/>
        </w:rPr>
        <w:t xml:space="preserve"> the police has access to the base</w:t>
      </w:r>
      <w:r w:rsidR="00C03B8C">
        <w:rPr>
          <w:rFonts w:ascii="Times New Roman" w:hAnsi="Times New Roman" w:cs="Times New Roman"/>
          <w:sz w:val="28"/>
          <w:szCs w:val="28"/>
          <w:lang w:val="en-US"/>
        </w:rPr>
        <w:t>,</w:t>
      </w:r>
      <w:r w:rsidRPr="00E75D66">
        <w:rPr>
          <w:rFonts w:ascii="Times New Roman" w:hAnsi="Times New Roman" w:cs="Times New Roman"/>
          <w:sz w:val="28"/>
          <w:szCs w:val="28"/>
          <w:lang w:val="en-US"/>
        </w:rPr>
        <w:t xml:space="preserve"> too. The similar system exists in the US: they develop a special software that allows obtaining data from government and commercial bases and making</w:t>
      </w:r>
      <w:r>
        <w:rPr>
          <w:rFonts w:ascii="Times New Roman" w:hAnsi="Times New Roman" w:cs="Times New Roman"/>
          <w:sz w:val="28"/>
          <w:szCs w:val="28"/>
          <w:lang w:val="en-US"/>
        </w:rPr>
        <w:t xml:space="preserve"> a comprehensive survey</w:t>
      </w:r>
      <w:r w:rsidR="00BB7678" w:rsidRPr="00E75D66">
        <w:rPr>
          <w:rFonts w:ascii="Times New Roman" w:hAnsi="Times New Roman" w:cs="Times New Roman"/>
          <w:sz w:val="28"/>
          <w:szCs w:val="28"/>
          <w:lang w:val="en-US"/>
        </w:rPr>
        <w:t>.</w:t>
      </w:r>
      <w:r w:rsidRPr="00E75D66">
        <w:rPr>
          <w:lang w:val="en-US"/>
        </w:rPr>
        <w:t xml:space="preserve"> </w:t>
      </w:r>
      <w:r w:rsidR="00C03B8C">
        <w:rPr>
          <w:rFonts w:ascii="Times New Roman" w:hAnsi="Times New Roman" w:cs="Times New Roman"/>
          <w:sz w:val="28"/>
          <w:szCs w:val="28"/>
          <w:lang w:val="en-US"/>
        </w:rPr>
        <w:t>The o</w:t>
      </w:r>
      <w:r w:rsidRPr="00E75D66">
        <w:rPr>
          <w:rFonts w:ascii="Times New Roman" w:hAnsi="Times New Roman" w:cs="Times New Roman"/>
          <w:sz w:val="28"/>
          <w:szCs w:val="28"/>
          <w:lang w:val="en-US"/>
        </w:rPr>
        <w:t xml:space="preserve">ffice for the suppression of major financial crime of </w:t>
      </w:r>
      <w:r w:rsidR="00C03B8C">
        <w:rPr>
          <w:rFonts w:ascii="Times New Roman" w:hAnsi="Times New Roman" w:cs="Times New Roman"/>
          <w:sz w:val="28"/>
          <w:szCs w:val="28"/>
          <w:lang w:val="en-US"/>
        </w:rPr>
        <w:t xml:space="preserve">the </w:t>
      </w:r>
      <w:r w:rsidRPr="00E75D66">
        <w:rPr>
          <w:rFonts w:ascii="Times New Roman" w:hAnsi="Times New Roman" w:cs="Times New Roman"/>
          <w:sz w:val="28"/>
          <w:szCs w:val="28"/>
          <w:lang w:val="en-US"/>
        </w:rPr>
        <w:lastRenderedPageBreak/>
        <w:t xml:space="preserve">USA has their own financial </w:t>
      </w:r>
      <w:r>
        <w:rPr>
          <w:rFonts w:ascii="Times New Roman" w:hAnsi="Times New Roman" w:cs="Times New Roman"/>
          <w:sz w:val="28"/>
          <w:szCs w:val="28"/>
          <w:lang w:val="en-US"/>
        </w:rPr>
        <w:t>database, which</w:t>
      </w:r>
      <w:r w:rsidRPr="00E75D66">
        <w:rPr>
          <w:rFonts w:ascii="Times New Roman" w:hAnsi="Times New Roman" w:cs="Times New Roman"/>
          <w:sz w:val="28"/>
          <w:szCs w:val="28"/>
          <w:lang w:val="en-US"/>
        </w:rPr>
        <w:t xml:space="preserve"> includes personal data and information on court cases. </w:t>
      </w:r>
      <w:r w:rsidR="00C03B8C">
        <w:rPr>
          <w:rFonts w:ascii="Times New Roman" w:hAnsi="Times New Roman" w:cs="Times New Roman"/>
          <w:sz w:val="28"/>
          <w:szCs w:val="28"/>
          <w:lang w:val="en-US"/>
        </w:rPr>
        <w:t>At the same time</w:t>
      </w:r>
      <w:r w:rsidRPr="00E75D66">
        <w:rPr>
          <w:rFonts w:ascii="Times New Roman" w:hAnsi="Times New Roman" w:cs="Times New Roman"/>
          <w:sz w:val="28"/>
          <w:szCs w:val="28"/>
          <w:lang w:val="en-US"/>
        </w:rPr>
        <w:t xml:space="preserve">, before the implementation of </w:t>
      </w:r>
      <w:r w:rsidR="00C03B8C" w:rsidRPr="00E75D66">
        <w:rPr>
          <w:rFonts w:ascii="Times New Roman" w:hAnsi="Times New Roman" w:cs="Times New Roman"/>
          <w:sz w:val="28"/>
          <w:szCs w:val="28"/>
          <w:lang w:val="en-US"/>
        </w:rPr>
        <w:t>this system</w:t>
      </w:r>
      <w:r w:rsidRPr="00E75D66">
        <w:rPr>
          <w:rFonts w:ascii="Times New Roman" w:hAnsi="Times New Roman" w:cs="Times New Roman"/>
          <w:sz w:val="28"/>
          <w:szCs w:val="28"/>
          <w:lang w:val="en-US"/>
        </w:rPr>
        <w:t xml:space="preserve"> it is crucial to ensure their security and safety from external interference and safety of collectable data.</w:t>
      </w:r>
    </w:p>
    <w:p w14:paraId="730C9C04" w14:textId="1E89CC6B" w:rsidR="00BB7678" w:rsidRDefault="00C03B8C" w:rsidP="00507CC7">
      <w:pPr>
        <w:tabs>
          <w:tab w:val="left" w:pos="1843"/>
        </w:tabs>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In this respect</w:t>
      </w:r>
      <w:r w:rsidR="00E75D66" w:rsidRPr="00E75D66">
        <w:rPr>
          <w:rFonts w:ascii="Times New Roman" w:hAnsi="Times New Roman" w:cs="Times New Roman"/>
          <w:sz w:val="28"/>
          <w:szCs w:val="28"/>
          <w:lang w:val="en-US"/>
        </w:rPr>
        <w:t xml:space="preserve">, the example of Germany and France shows a possibility of amending the legislative framework with compulsory identification of clients and beneficiaries, mandatory data storage for a </w:t>
      </w:r>
      <w:r w:rsidR="00EB65B2">
        <w:rPr>
          <w:rFonts w:ascii="Times New Roman" w:hAnsi="Times New Roman" w:cs="Times New Roman"/>
          <w:sz w:val="28"/>
          <w:szCs w:val="28"/>
          <w:lang w:val="en-US"/>
        </w:rPr>
        <w:t xml:space="preserve">long </w:t>
      </w:r>
      <w:r w:rsidR="00E75D66" w:rsidRPr="00E75D66">
        <w:rPr>
          <w:rFonts w:ascii="Times New Roman" w:hAnsi="Times New Roman" w:cs="Times New Roman"/>
          <w:sz w:val="28"/>
          <w:szCs w:val="28"/>
          <w:lang w:val="en-US"/>
        </w:rPr>
        <w:t>period of time, realization of KYC, continuous staff training.</w:t>
      </w:r>
      <w:r w:rsidR="00BB7678" w:rsidRPr="00E75D66">
        <w:rPr>
          <w:rFonts w:ascii="Times New Roman" w:hAnsi="Times New Roman" w:cs="Times New Roman"/>
          <w:sz w:val="28"/>
          <w:szCs w:val="28"/>
          <w:lang w:val="en-US"/>
        </w:rPr>
        <w:t xml:space="preserve"> </w:t>
      </w:r>
    </w:p>
    <w:p w14:paraId="09AA0AD5" w14:textId="77777777" w:rsidR="00E93E57" w:rsidRPr="00E75D66" w:rsidRDefault="00E93E57" w:rsidP="00507CC7">
      <w:pPr>
        <w:tabs>
          <w:tab w:val="left" w:pos="1843"/>
        </w:tabs>
        <w:spacing w:line="360" w:lineRule="auto"/>
        <w:contextualSpacing/>
        <w:jc w:val="both"/>
        <w:rPr>
          <w:rFonts w:ascii="Times New Roman" w:hAnsi="Times New Roman" w:cs="Times New Roman"/>
          <w:sz w:val="28"/>
          <w:szCs w:val="28"/>
          <w:lang w:val="en-US"/>
        </w:rPr>
      </w:pPr>
    </w:p>
    <w:p w14:paraId="45CA497A" w14:textId="77777777" w:rsidR="00857447" w:rsidRDefault="003B132A" w:rsidP="00507CC7">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References </w:t>
      </w:r>
    </w:p>
    <w:p w14:paraId="7C71A941" w14:textId="77777777" w:rsidR="006E16BE" w:rsidRPr="0047145C" w:rsidRDefault="00EB653E" w:rsidP="00E93E57">
      <w:pPr>
        <w:pStyle w:val="ListParagraph"/>
        <w:numPr>
          <w:ilvl w:val="0"/>
          <w:numId w:val="22"/>
        </w:numPr>
        <w:spacing w:line="360" w:lineRule="auto"/>
        <w:ind w:left="426" w:hanging="426"/>
        <w:rPr>
          <w:rFonts w:ascii="Times New Roman" w:hAnsi="Times New Roman" w:cs="Times New Roman"/>
          <w:sz w:val="28"/>
          <w:szCs w:val="28"/>
          <w:lang w:val="en-US"/>
        </w:rPr>
      </w:pPr>
      <w:r>
        <w:rPr>
          <w:rFonts w:ascii="Times New Roman" w:hAnsi="Times New Roman" w:cs="Times New Roman"/>
          <w:sz w:val="28"/>
          <w:szCs w:val="28"/>
          <w:lang w:val="en-US"/>
        </w:rPr>
        <w:t>Melnikov V. N., Moves</w:t>
      </w:r>
      <w:r w:rsidR="006253F1">
        <w:rPr>
          <w:rFonts w:ascii="Times New Roman" w:hAnsi="Times New Roman" w:cs="Times New Roman"/>
          <w:sz w:val="28"/>
          <w:szCs w:val="28"/>
          <w:lang w:val="en-US"/>
        </w:rPr>
        <w:t xml:space="preserve">ian A. G. Ukaz. Soh. P.216. </w:t>
      </w:r>
    </w:p>
    <w:p w14:paraId="2F771DF2" w14:textId="6EC5B209" w:rsidR="006E16BE" w:rsidRPr="0047145C" w:rsidRDefault="006E16BE" w:rsidP="00EB65B2">
      <w:pPr>
        <w:pStyle w:val="ListParagraph"/>
        <w:numPr>
          <w:ilvl w:val="0"/>
          <w:numId w:val="22"/>
        </w:numPr>
        <w:spacing w:line="360" w:lineRule="auto"/>
        <w:ind w:left="426" w:hanging="426"/>
        <w:jc w:val="both"/>
        <w:rPr>
          <w:rFonts w:ascii="Times New Roman" w:hAnsi="Times New Roman" w:cs="Times New Roman"/>
          <w:sz w:val="28"/>
          <w:szCs w:val="28"/>
          <w:lang w:val="en-US"/>
        </w:rPr>
      </w:pPr>
      <w:r w:rsidRPr="0047145C">
        <w:rPr>
          <w:rFonts w:ascii="Times New Roman" w:hAnsi="Times New Roman" w:cs="Times New Roman"/>
          <w:sz w:val="28"/>
          <w:szCs w:val="28"/>
          <w:lang w:val="en-US"/>
        </w:rPr>
        <w:t>Directive (EU) of the European Parliament and of the Council "The prevention of the use of the financial system for the purposes of money laundering or terrorist financing" of 20 May 2015 № 2015/849 // URL: eur-lex.europa.eu/legal-content/EN/TXT/?qid=151</w:t>
      </w:r>
      <w:r w:rsidR="006253F1">
        <w:rPr>
          <w:rFonts w:ascii="Times New Roman" w:hAnsi="Times New Roman" w:cs="Times New Roman"/>
          <w:sz w:val="28"/>
          <w:szCs w:val="28"/>
          <w:lang w:val="en-US"/>
        </w:rPr>
        <w:t>017063.</w:t>
      </w:r>
      <w:r w:rsidRPr="0047145C">
        <w:rPr>
          <w:rFonts w:ascii="Times New Roman" w:hAnsi="Times New Roman" w:cs="Times New Roman"/>
          <w:sz w:val="28"/>
          <w:szCs w:val="28"/>
          <w:lang w:val="en-US"/>
        </w:rPr>
        <w:t xml:space="preserve"> (</w:t>
      </w:r>
      <w:r w:rsidR="00EB65B2">
        <w:rPr>
          <w:rFonts w:ascii="Times New Roman" w:hAnsi="Times New Roman" w:cs="Times New Roman"/>
          <w:sz w:val="28"/>
          <w:szCs w:val="28"/>
          <w:lang w:val="en-US"/>
        </w:rPr>
        <w:t>Retrieved on</w:t>
      </w:r>
      <w:r w:rsidRPr="0047145C">
        <w:rPr>
          <w:rFonts w:ascii="Times New Roman" w:hAnsi="Times New Roman" w:cs="Times New Roman"/>
          <w:sz w:val="28"/>
          <w:szCs w:val="28"/>
          <w:lang w:val="en-US"/>
        </w:rPr>
        <w:t xml:space="preserve"> 01.11.17).</w:t>
      </w:r>
    </w:p>
    <w:p w14:paraId="07C4A628" w14:textId="475C60E2" w:rsidR="006E16BE" w:rsidRPr="0047145C" w:rsidRDefault="006E16BE" w:rsidP="00EB65B2">
      <w:pPr>
        <w:pStyle w:val="ListParagraph"/>
        <w:numPr>
          <w:ilvl w:val="0"/>
          <w:numId w:val="22"/>
        </w:numPr>
        <w:spacing w:line="360" w:lineRule="auto"/>
        <w:ind w:left="426" w:hanging="426"/>
        <w:jc w:val="both"/>
        <w:rPr>
          <w:rFonts w:ascii="Times New Roman" w:hAnsi="Times New Roman" w:cs="Times New Roman"/>
          <w:sz w:val="28"/>
          <w:szCs w:val="28"/>
          <w:lang w:val="en-US"/>
        </w:rPr>
      </w:pPr>
      <w:r w:rsidRPr="0047145C">
        <w:rPr>
          <w:rFonts w:ascii="Times New Roman" w:hAnsi="Times New Roman" w:cs="Times New Roman"/>
          <w:sz w:val="28"/>
          <w:szCs w:val="28"/>
          <w:lang w:val="en-US"/>
        </w:rPr>
        <w:t>Act on Prevention of Transfer of Criminal Proceeds // URL: https://www.npa.go.jp/s</w:t>
      </w:r>
      <w:r w:rsidR="00B44D0A">
        <w:rPr>
          <w:rFonts w:ascii="Times New Roman" w:hAnsi="Times New Roman" w:cs="Times New Roman"/>
          <w:sz w:val="28"/>
          <w:szCs w:val="28"/>
          <w:lang w:val="en-US"/>
        </w:rPr>
        <w:t>osikihanzai/jafic/pdf/</w:t>
      </w:r>
      <w:r w:rsidRPr="0047145C">
        <w:rPr>
          <w:rFonts w:ascii="Times New Roman" w:hAnsi="Times New Roman" w:cs="Times New Roman"/>
          <w:sz w:val="28"/>
          <w:szCs w:val="28"/>
          <w:lang w:val="en-US"/>
        </w:rPr>
        <w:t xml:space="preserve"> 2013 (</w:t>
      </w:r>
      <w:r w:rsidR="00EB65B2">
        <w:rPr>
          <w:rFonts w:ascii="Times New Roman" w:hAnsi="Times New Roman" w:cs="Times New Roman"/>
          <w:sz w:val="28"/>
          <w:szCs w:val="28"/>
          <w:lang w:val="en-US"/>
        </w:rPr>
        <w:t>Retrieved on</w:t>
      </w:r>
      <w:r w:rsidR="00EB65B2" w:rsidRPr="0047145C">
        <w:rPr>
          <w:rFonts w:ascii="Times New Roman" w:hAnsi="Times New Roman" w:cs="Times New Roman"/>
          <w:sz w:val="28"/>
          <w:szCs w:val="28"/>
          <w:lang w:val="en-US"/>
        </w:rPr>
        <w:t xml:space="preserve"> </w:t>
      </w:r>
      <w:r w:rsidRPr="0047145C">
        <w:rPr>
          <w:rFonts w:ascii="Times New Roman" w:hAnsi="Times New Roman" w:cs="Times New Roman"/>
          <w:sz w:val="28"/>
          <w:szCs w:val="28"/>
          <w:lang w:val="en-US"/>
        </w:rPr>
        <w:t>01.11.17).</w:t>
      </w:r>
    </w:p>
    <w:p w14:paraId="1E270CD2" w14:textId="43285C54" w:rsidR="006E16BE" w:rsidRPr="0047145C" w:rsidRDefault="006E16BE" w:rsidP="00EB65B2">
      <w:pPr>
        <w:pStyle w:val="ListParagraph"/>
        <w:numPr>
          <w:ilvl w:val="0"/>
          <w:numId w:val="22"/>
        </w:numPr>
        <w:spacing w:line="360" w:lineRule="auto"/>
        <w:ind w:left="426" w:hanging="426"/>
        <w:jc w:val="both"/>
        <w:rPr>
          <w:rFonts w:ascii="Times New Roman" w:hAnsi="Times New Roman" w:cs="Times New Roman"/>
          <w:sz w:val="28"/>
          <w:szCs w:val="28"/>
          <w:lang w:val="en-US"/>
        </w:rPr>
      </w:pPr>
      <w:r w:rsidRPr="0047145C">
        <w:rPr>
          <w:rFonts w:ascii="Times New Roman" w:hAnsi="Times New Roman" w:cs="Times New Roman"/>
          <w:sz w:val="28"/>
          <w:szCs w:val="28"/>
          <w:lang w:val="en-US"/>
        </w:rPr>
        <w:t>The Money Laundering (Amendment) Regulations 2012 // URL: http://www.legislation.gov.uk/uksi/2012/2298/</w:t>
      </w:r>
      <w:r w:rsidR="00AA11D0" w:rsidRPr="0047145C">
        <w:rPr>
          <w:rFonts w:ascii="Times New Roman" w:hAnsi="Times New Roman" w:cs="Times New Roman"/>
          <w:sz w:val="28"/>
          <w:szCs w:val="28"/>
          <w:lang w:val="en-US"/>
        </w:rPr>
        <w:t xml:space="preserve"> </w:t>
      </w:r>
      <w:r w:rsidRPr="0047145C">
        <w:rPr>
          <w:rFonts w:ascii="Times New Roman" w:hAnsi="Times New Roman" w:cs="Times New Roman"/>
          <w:sz w:val="28"/>
          <w:szCs w:val="28"/>
          <w:lang w:val="en-US"/>
        </w:rPr>
        <w:t>(</w:t>
      </w:r>
      <w:r w:rsidR="00EB65B2">
        <w:rPr>
          <w:rFonts w:ascii="Times New Roman" w:hAnsi="Times New Roman" w:cs="Times New Roman"/>
          <w:sz w:val="28"/>
          <w:szCs w:val="28"/>
          <w:lang w:val="en-US"/>
        </w:rPr>
        <w:t>Retrieved on</w:t>
      </w:r>
      <w:r w:rsidRPr="0047145C">
        <w:rPr>
          <w:rFonts w:ascii="Times New Roman" w:hAnsi="Times New Roman" w:cs="Times New Roman"/>
          <w:sz w:val="28"/>
          <w:szCs w:val="28"/>
          <w:lang w:val="en-US"/>
        </w:rPr>
        <w:t xml:space="preserve"> 01.11.17).</w:t>
      </w:r>
    </w:p>
    <w:p w14:paraId="5B23A848" w14:textId="64BC9EEB" w:rsidR="006E16BE" w:rsidRPr="0047145C" w:rsidRDefault="006E16BE" w:rsidP="00EB65B2">
      <w:pPr>
        <w:pStyle w:val="ListParagraph"/>
        <w:numPr>
          <w:ilvl w:val="0"/>
          <w:numId w:val="22"/>
        </w:numPr>
        <w:spacing w:line="360" w:lineRule="auto"/>
        <w:ind w:left="426" w:hanging="426"/>
        <w:jc w:val="both"/>
        <w:rPr>
          <w:rFonts w:ascii="Times New Roman" w:hAnsi="Times New Roman" w:cs="Times New Roman"/>
          <w:sz w:val="28"/>
          <w:szCs w:val="28"/>
          <w:lang w:val="en-US"/>
        </w:rPr>
      </w:pPr>
      <w:r w:rsidRPr="0047145C">
        <w:rPr>
          <w:rFonts w:ascii="Times New Roman" w:hAnsi="Times New Roman" w:cs="Times New Roman"/>
          <w:sz w:val="28"/>
          <w:szCs w:val="28"/>
          <w:lang w:val="en-US"/>
        </w:rPr>
        <w:t>Know Your Customer: Quick Reference Guide 2015 // URL: https://www.pwc.co.uk/a</w:t>
      </w:r>
      <w:r w:rsidR="00B44D0A">
        <w:rPr>
          <w:rFonts w:ascii="Times New Roman" w:hAnsi="Times New Roman" w:cs="Times New Roman"/>
          <w:sz w:val="28"/>
          <w:szCs w:val="28"/>
          <w:lang w:val="en-US"/>
        </w:rPr>
        <w:t>ssets/pdf/anti-money-laundering</w:t>
      </w:r>
      <w:r w:rsidRPr="0047145C">
        <w:rPr>
          <w:rFonts w:ascii="Times New Roman" w:hAnsi="Times New Roman" w:cs="Times New Roman"/>
          <w:sz w:val="28"/>
          <w:szCs w:val="28"/>
          <w:lang w:val="en-US"/>
        </w:rPr>
        <w:t xml:space="preserve"> (</w:t>
      </w:r>
      <w:r w:rsidR="00EB65B2">
        <w:rPr>
          <w:rFonts w:ascii="Times New Roman" w:hAnsi="Times New Roman" w:cs="Times New Roman"/>
          <w:sz w:val="28"/>
          <w:szCs w:val="28"/>
          <w:lang w:val="en-US"/>
        </w:rPr>
        <w:t>Retrieved on</w:t>
      </w:r>
      <w:r w:rsidRPr="0047145C">
        <w:rPr>
          <w:rFonts w:ascii="Times New Roman" w:hAnsi="Times New Roman" w:cs="Times New Roman"/>
          <w:sz w:val="28"/>
          <w:szCs w:val="28"/>
          <w:lang w:val="en-US"/>
        </w:rPr>
        <w:t xml:space="preserve"> 01.11.17).</w:t>
      </w:r>
    </w:p>
    <w:p w14:paraId="01FBC3C0" w14:textId="5B980437" w:rsidR="006E16BE" w:rsidRPr="0047145C" w:rsidRDefault="006E16BE" w:rsidP="00EB65B2">
      <w:pPr>
        <w:pStyle w:val="ListParagraph"/>
        <w:numPr>
          <w:ilvl w:val="0"/>
          <w:numId w:val="22"/>
        </w:numPr>
        <w:spacing w:line="360" w:lineRule="auto"/>
        <w:ind w:left="426" w:hanging="426"/>
        <w:jc w:val="both"/>
        <w:rPr>
          <w:rFonts w:ascii="Times New Roman" w:hAnsi="Times New Roman" w:cs="Times New Roman"/>
          <w:sz w:val="28"/>
          <w:szCs w:val="28"/>
          <w:lang w:val="en-US"/>
        </w:rPr>
      </w:pPr>
      <w:r w:rsidRPr="0047145C">
        <w:rPr>
          <w:rFonts w:ascii="Times New Roman" w:hAnsi="Times New Roman" w:cs="Times New Roman"/>
          <w:sz w:val="28"/>
          <w:szCs w:val="28"/>
          <w:lang w:val="en-US"/>
        </w:rPr>
        <w:t>The Legislative Decree No. 90 of May 25, 2017 // URL: https://www.dlapiper.c</w:t>
      </w:r>
      <w:r w:rsidR="00AA11D0">
        <w:rPr>
          <w:rFonts w:ascii="Times New Roman" w:hAnsi="Times New Roman" w:cs="Times New Roman"/>
          <w:sz w:val="28"/>
          <w:szCs w:val="28"/>
          <w:lang w:val="en-US"/>
        </w:rPr>
        <w:t>om/en/italy/insights/publication</w:t>
      </w:r>
      <w:r w:rsidRPr="0047145C">
        <w:rPr>
          <w:rFonts w:ascii="Times New Roman" w:hAnsi="Times New Roman" w:cs="Times New Roman"/>
          <w:sz w:val="28"/>
          <w:szCs w:val="28"/>
          <w:lang w:val="en-US"/>
        </w:rPr>
        <w:t xml:space="preserve"> (</w:t>
      </w:r>
      <w:r w:rsidR="00EB65B2">
        <w:rPr>
          <w:rFonts w:ascii="Times New Roman" w:hAnsi="Times New Roman" w:cs="Times New Roman"/>
          <w:sz w:val="28"/>
          <w:szCs w:val="28"/>
          <w:lang w:val="en-US"/>
        </w:rPr>
        <w:t>Retrieved on</w:t>
      </w:r>
      <w:r w:rsidRPr="0047145C">
        <w:rPr>
          <w:rFonts w:ascii="Times New Roman" w:hAnsi="Times New Roman" w:cs="Times New Roman"/>
          <w:sz w:val="28"/>
          <w:szCs w:val="28"/>
          <w:lang w:val="en-US"/>
        </w:rPr>
        <w:t xml:space="preserve"> 01.11.17).</w:t>
      </w:r>
    </w:p>
    <w:p w14:paraId="32915E50" w14:textId="368E71F1" w:rsidR="006E16BE" w:rsidRPr="0047145C" w:rsidRDefault="006E16BE" w:rsidP="00EB65B2">
      <w:pPr>
        <w:pStyle w:val="ListParagraph"/>
        <w:numPr>
          <w:ilvl w:val="0"/>
          <w:numId w:val="22"/>
        </w:numPr>
        <w:spacing w:line="360" w:lineRule="auto"/>
        <w:ind w:left="426" w:hanging="426"/>
        <w:jc w:val="both"/>
        <w:rPr>
          <w:rFonts w:ascii="Times New Roman" w:hAnsi="Times New Roman" w:cs="Times New Roman"/>
          <w:sz w:val="28"/>
          <w:szCs w:val="28"/>
          <w:lang w:val="en-US"/>
        </w:rPr>
      </w:pPr>
      <w:r w:rsidRPr="0047145C">
        <w:rPr>
          <w:rFonts w:ascii="Times New Roman" w:hAnsi="Times New Roman" w:cs="Times New Roman"/>
          <w:sz w:val="28"/>
          <w:szCs w:val="28"/>
          <w:lang w:val="en-US"/>
        </w:rPr>
        <w:t>Money Laundering and Terrorist Financing (Prevention) Act (Wwft) // URL: https://www.fiu-nederla</w:t>
      </w:r>
      <w:r w:rsidR="00AA11D0">
        <w:rPr>
          <w:rFonts w:ascii="Times New Roman" w:hAnsi="Times New Roman" w:cs="Times New Roman"/>
          <w:sz w:val="28"/>
          <w:szCs w:val="28"/>
          <w:lang w:val="en-US"/>
        </w:rPr>
        <w:t>nd.nl/en/legislation</w:t>
      </w:r>
      <w:r w:rsidRPr="0047145C">
        <w:rPr>
          <w:rFonts w:ascii="Times New Roman" w:hAnsi="Times New Roman" w:cs="Times New Roman"/>
          <w:sz w:val="28"/>
          <w:szCs w:val="28"/>
          <w:lang w:val="en-US"/>
        </w:rPr>
        <w:t xml:space="preserve"> (</w:t>
      </w:r>
      <w:r w:rsidR="00EB65B2">
        <w:rPr>
          <w:rFonts w:ascii="Times New Roman" w:hAnsi="Times New Roman" w:cs="Times New Roman"/>
          <w:sz w:val="28"/>
          <w:szCs w:val="28"/>
          <w:lang w:val="en-US"/>
        </w:rPr>
        <w:t>Retrieved on</w:t>
      </w:r>
      <w:r w:rsidRPr="0047145C">
        <w:rPr>
          <w:rFonts w:ascii="Times New Roman" w:hAnsi="Times New Roman" w:cs="Times New Roman"/>
          <w:sz w:val="28"/>
          <w:szCs w:val="28"/>
          <w:lang w:val="en-US"/>
        </w:rPr>
        <w:t xml:space="preserve"> 01.11.17).</w:t>
      </w:r>
    </w:p>
    <w:p w14:paraId="0DDBFA6F" w14:textId="0E0FCACC" w:rsidR="006E16BE" w:rsidRDefault="006E16BE" w:rsidP="00EB65B2">
      <w:pPr>
        <w:pStyle w:val="ListParagraph"/>
        <w:numPr>
          <w:ilvl w:val="0"/>
          <w:numId w:val="22"/>
        </w:numPr>
        <w:spacing w:line="360" w:lineRule="auto"/>
        <w:ind w:left="426" w:hanging="426"/>
        <w:jc w:val="both"/>
        <w:rPr>
          <w:rFonts w:ascii="Times New Roman" w:hAnsi="Times New Roman" w:cs="Times New Roman"/>
          <w:sz w:val="28"/>
          <w:szCs w:val="28"/>
          <w:lang w:val="en-US"/>
        </w:rPr>
      </w:pPr>
      <w:r w:rsidRPr="0047145C">
        <w:rPr>
          <w:rFonts w:ascii="Times New Roman" w:hAnsi="Times New Roman" w:cs="Times New Roman"/>
          <w:sz w:val="28"/>
          <w:szCs w:val="28"/>
          <w:lang w:val="en-US"/>
        </w:rPr>
        <w:t>Federal Act on Combating Money Laundering and Terrorist Financing (Anti-Money Laund</w:t>
      </w:r>
      <w:r w:rsidR="00AA11D0">
        <w:rPr>
          <w:rFonts w:ascii="Times New Roman" w:hAnsi="Times New Roman" w:cs="Times New Roman"/>
          <w:sz w:val="28"/>
          <w:szCs w:val="28"/>
          <w:lang w:val="en-US"/>
        </w:rPr>
        <w:t>ering Act, AMLA)</w:t>
      </w:r>
      <w:r w:rsidRPr="0047145C">
        <w:rPr>
          <w:rFonts w:ascii="Times New Roman" w:hAnsi="Times New Roman" w:cs="Times New Roman"/>
          <w:sz w:val="28"/>
          <w:szCs w:val="28"/>
          <w:lang w:val="en-US"/>
        </w:rPr>
        <w:t xml:space="preserve"> 10 October 1997 (Status as of 1 January 2016) // URL: https://www.finma.ch/e</w:t>
      </w:r>
      <w:r w:rsidR="00B44D0A">
        <w:rPr>
          <w:rFonts w:ascii="Times New Roman" w:hAnsi="Times New Roman" w:cs="Times New Roman"/>
          <w:sz w:val="28"/>
          <w:szCs w:val="28"/>
          <w:lang w:val="en-US"/>
        </w:rPr>
        <w:t>n/documentation/legal-basis/law</w:t>
      </w:r>
      <w:r w:rsidRPr="0047145C">
        <w:rPr>
          <w:rFonts w:ascii="Times New Roman" w:hAnsi="Times New Roman" w:cs="Times New Roman"/>
          <w:sz w:val="28"/>
          <w:szCs w:val="28"/>
          <w:lang w:val="en-US"/>
        </w:rPr>
        <w:t xml:space="preserve"> (</w:t>
      </w:r>
      <w:r w:rsidR="00EB65B2">
        <w:rPr>
          <w:rFonts w:ascii="Times New Roman" w:hAnsi="Times New Roman" w:cs="Times New Roman"/>
          <w:sz w:val="28"/>
          <w:szCs w:val="28"/>
          <w:lang w:val="en-US"/>
        </w:rPr>
        <w:t>Retrieved on</w:t>
      </w:r>
      <w:r w:rsidRPr="0047145C">
        <w:rPr>
          <w:rFonts w:ascii="Times New Roman" w:hAnsi="Times New Roman" w:cs="Times New Roman"/>
          <w:sz w:val="28"/>
          <w:szCs w:val="28"/>
          <w:lang w:val="en-US"/>
        </w:rPr>
        <w:t xml:space="preserve"> 01.11.17).</w:t>
      </w:r>
    </w:p>
    <w:p w14:paraId="308C87D5" w14:textId="505023C4" w:rsidR="00507CC7" w:rsidRPr="00507CC7" w:rsidRDefault="006E16BE" w:rsidP="00EB65B2">
      <w:pPr>
        <w:pStyle w:val="ListParagraph"/>
        <w:numPr>
          <w:ilvl w:val="0"/>
          <w:numId w:val="22"/>
        </w:numPr>
        <w:spacing w:line="360" w:lineRule="auto"/>
        <w:ind w:left="426" w:hanging="426"/>
        <w:jc w:val="both"/>
        <w:rPr>
          <w:rFonts w:ascii="Times New Roman" w:hAnsi="Times New Roman" w:cs="Times New Roman"/>
          <w:sz w:val="28"/>
          <w:szCs w:val="28"/>
          <w:lang w:val="en-US"/>
        </w:rPr>
      </w:pPr>
      <w:r w:rsidRPr="0047145C">
        <w:rPr>
          <w:rFonts w:ascii="Times New Roman" w:hAnsi="Times New Roman" w:cs="Times New Roman"/>
          <w:sz w:val="28"/>
          <w:szCs w:val="28"/>
          <w:lang w:val="en-US"/>
        </w:rPr>
        <w:lastRenderedPageBreak/>
        <w:t>Global Anti-Money Laundering Survey, KPMG International 2014 // URL: https://assets.kpmg.com/cont</w:t>
      </w:r>
      <w:r w:rsidR="00AA11D0">
        <w:rPr>
          <w:rFonts w:ascii="Times New Roman" w:hAnsi="Times New Roman" w:cs="Times New Roman"/>
          <w:sz w:val="28"/>
          <w:szCs w:val="28"/>
          <w:lang w:val="en-US"/>
        </w:rPr>
        <w:t>ent/dam/kpmg/pdf/2014/</w:t>
      </w:r>
      <w:r w:rsidRPr="0047145C">
        <w:rPr>
          <w:rFonts w:ascii="Times New Roman" w:hAnsi="Times New Roman" w:cs="Times New Roman"/>
          <w:sz w:val="28"/>
          <w:szCs w:val="28"/>
          <w:lang w:val="en-US"/>
        </w:rPr>
        <w:t xml:space="preserve"> (</w:t>
      </w:r>
      <w:r w:rsidR="00EB65B2">
        <w:rPr>
          <w:rFonts w:ascii="Times New Roman" w:hAnsi="Times New Roman" w:cs="Times New Roman"/>
          <w:sz w:val="28"/>
          <w:szCs w:val="28"/>
          <w:lang w:val="en-US"/>
        </w:rPr>
        <w:t>Retrieved on</w:t>
      </w:r>
      <w:r w:rsidRPr="0047145C">
        <w:rPr>
          <w:rFonts w:ascii="Times New Roman" w:hAnsi="Times New Roman" w:cs="Times New Roman"/>
          <w:sz w:val="28"/>
          <w:szCs w:val="28"/>
          <w:lang w:val="en-US"/>
        </w:rPr>
        <w:t xml:space="preserve"> 01.11.17).</w:t>
      </w:r>
    </w:p>
    <w:p w14:paraId="4680831B" w14:textId="12E5AFF3" w:rsidR="0019548C" w:rsidRPr="00507CC7" w:rsidRDefault="006E16BE" w:rsidP="00EB65B2">
      <w:pPr>
        <w:pStyle w:val="ListParagraph"/>
        <w:numPr>
          <w:ilvl w:val="0"/>
          <w:numId w:val="22"/>
        </w:numPr>
        <w:spacing w:line="360" w:lineRule="auto"/>
        <w:ind w:left="426" w:hanging="426"/>
        <w:jc w:val="both"/>
        <w:rPr>
          <w:rFonts w:ascii="Times New Roman" w:hAnsi="Times New Roman" w:cs="Times New Roman"/>
          <w:sz w:val="28"/>
          <w:szCs w:val="28"/>
          <w:lang w:val="en-US"/>
        </w:rPr>
      </w:pPr>
      <w:r w:rsidRPr="00507CC7">
        <w:rPr>
          <w:rFonts w:ascii="Times New Roman" w:hAnsi="Times New Roman" w:cs="Times New Roman"/>
          <w:sz w:val="28"/>
          <w:szCs w:val="28"/>
          <w:lang w:val="en-US"/>
        </w:rPr>
        <w:t>Global Economic Crime Survey 2016 // URL: https://www.pwc.com/gx/</w:t>
      </w:r>
      <w:r w:rsidR="00CF3583" w:rsidRPr="00507CC7">
        <w:rPr>
          <w:rFonts w:ascii="Times New Roman" w:hAnsi="Times New Roman" w:cs="Times New Roman"/>
          <w:sz w:val="28"/>
          <w:szCs w:val="28"/>
          <w:lang w:val="en-US"/>
        </w:rPr>
        <w:t>en/services/advisory/fo</w:t>
      </w:r>
      <w:bookmarkStart w:id="0" w:name="_GoBack"/>
      <w:bookmarkEnd w:id="0"/>
      <w:r w:rsidR="00CF3583" w:rsidRPr="00507CC7">
        <w:rPr>
          <w:rFonts w:ascii="Times New Roman" w:hAnsi="Times New Roman" w:cs="Times New Roman"/>
          <w:sz w:val="28"/>
          <w:szCs w:val="28"/>
          <w:lang w:val="en-US"/>
        </w:rPr>
        <w:t>rensics</w:t>
      </w:r>
      <w:r w:rsidRPr="00507CC7">
        <w:rPr>
          <w:rFonts w:ascii="Times New Roman" w:hAnsi="Times New Roman" w:cs="Times New Roman"/>
          <w:sz w:val="28"/>
          <w:szCs w:val="28"/>
          <w:lang w:val="en-US"/>
        </w:rPr>
        <w:t xml:space="preserve"> (</w:t>
      </w:r>
      <w:r w:rsidR="00EB65B2">
        <w:rPr>
          <w:rFonts w:ascii="Times New Roman" w:hAnsi="Times New Roman" w:cs="Times New Roman"/>
          <w:sz w:val="28"/>
          <w:szCs w:val="28"/>
          <w:lang w:val="en-US"/>
        </w:rPr>
        <w:t>Retrieved on</w:t>
      </w:r>
      <w:r w:rsidR="00507CC7" w:rsidRPr="00507CC7">
        <w:rPr>
          <w:rFonts w:ascii="Times New Roman" w:hAnsi="Times New Roman" w:cs="Times New Roman"/>
          <w:sz w:val="28"/>
          <w:szCs w:val="28"/>
          <w:lang w:val="en-US"/>
        </w:rPr>
        <w:t xml:space="preserve"> 01.11.17).</w:t>
      </w:r>
    </w:p>
    <w:sectPr w:rsidR="0019548C" w:rsidRPr="00507CC7" w:rsidSect="00F670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FF6C5" w14:textId="77777777" w:rsidR="00326B83" w:rsidRDefault="00326B83" w:rsidP="00983369">
      <w:pPr>
        <w:spacing w:after="0" w:line="240" w:lineRule="auto"/>
      </w:pPr>
      <w:r>
        <w:separator/>
      </w:r>
    </w:p>
  </w:endnote>
  <w:endnote w:type="continuationSeparator" w:id="0">
    <w:p w14:paraId="79511073" w14:textId="77777777" w:rsidR="00326B83" w:rsidRDefault="00326B83" w:rsidP="0098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C9048" w14:textId="77777777" w:rsidR="00326B83" w:rsidRDefault="00326B83" w:rsidP="00983369">
      <w:pPr>
        <w:spacing w:after="0" w:line="240" w:lineRule="auto"/>
      </w:pPr>
      <w:r>
        <w:separator/>
      </w:r>
    </w:p>
  </w:footnote>
  <w:footnote w:type="continuationSeparator" w:id="0">
    <w:p w14:paraId="65CCCFD3" w14:textId="77777777" w:rsidR="00326B83" w:rsidRDefault="00326B83" w:rsidP="009833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EF1"/>
    <w:multiLevelType w:val="hybridMultilevel"/>
    <w:tmpl w:val="3274D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2743CF"/>
    <w:multiLevelType w:val="hybridMultilevel"/>
    <w:tmpl w:val="247AA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A6C"/>
    <w:multiLevelType w:val="hybridMultilevel"/>
    <w:tmpl w:val="5C5CA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F351B"/>
    <w:multiLevelType w:val="multilevel"/>
    <w:tmpl w:val="FF16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77FF6"/>
    <w:multiLevelType w:val="multilevel"/>
    <w:tmpl w:val="8EF8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F6D29"/>
    <w:multiLevelType w:val="hybridMultilevel"/>
    <w:tmpl w:val="AD2E4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FE7663"/>
    <w:multiLevelType w:val="hybridMultilevel"/>
    <w:tmpl w:val="8F5E9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76214B"/>
    <w:multiLevelType w:val="hybridMultilevel"/>
    <w:tmpl w:val="03FEA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633973"/>
    <w:multiLevelType w:val="multilevel"/>
    <w:tmpl w:val="69E8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003B1"/>
    <w:multiLevelType w:val="hybridMultilevel"/>
    <w:tmpl w:val="E9D42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5D28CE"/>
    <w:multiLevelType w:val="hybridMultilevel"/>
    <w:tmpl w:val="E4DE94C6"/>
    <w:lvl w:ilvl="0" w:tplc="30464CBA">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5054216"/>
    <w:multiLevelType w:val="hybridMultilevel"/>
    <w:tmpl w:val="123AA4B6"/>
    <w:lvl w:ilvl="0" w:tplc="C486F9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6CD69B5"/>
    <w:multiLevelType w:val="hybridMultilevel"/>
    <w:tmpl w:val="8D404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321E28"/>
    <w:multiLevelType w:val="hybridMultilevel"/>
    <w:tmpl w:val="A3BE6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7C3A56"/>
    <w:multiLevelType w:val="hybridMultilevel"/>
    <w:tmpl w:val="20E0A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F2564A"/>
    <w:multiLevelType w:val="hybridMultilevel"/>
    <w:tmpl w:val="4B5ED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7F3B35"/>
    <w:multiLevelType w:val="hybridMultilevel"/>
    <w:tmpl w:val="28AA52BE"/>
    <w:lvl w:ilvl="0" w:tplc="3B7C50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5D7AF6"/>
    <w:multiLevelType w:val="multilevel"/>
    <w:tmpl w:val="FC84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A95CB1"/>
    <w:multiLevelType w:val="hybridMultilevel"/>
    <w:tmpl w:val="DC36B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265FE9"/>
    <w:multiLevelType w:val="hybridMultilevel"/>
    <w:tmpl w:val="7340E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266408"/>
    <w:multiLevelType w:val="hybridMultilevel"/>
    <w:tmpl w:val="698ED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FB4B8A"/>
    <w:multiLevelType w:val="hybridMultilevel"/>
    <w:tmpl w:val="DC36B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5"/>
  </w:num>
  <w:num w:numId="4">
    <w:abstractNumId w:val="19"/>
  </w:num>
  <w:num w:numId="5">
    <w:abstractNumId w:val="7"/>
  </w:num>
  <w:num w:numId="6">
    <w:abstractNumId w:val="9"/>
  </w:num>
  <w:num w:numId="7">
    <w:abstractNumId w:val="0"/>
  </w:num>
  <w:num w:numId="8">
    <w:abstractNumId w:val="20"/>
  </w:num>
  <w:num w:numId="9">
    <w:abstractNumId w:val="6"/>
  </w:num>
  <w:num w:numId="10">
    <w:abstractNumId w:val="14"/>
  </w:num>
  <w:num w:numId="11">
    <w:abstractNumId w:val="2"/>
  </w:num>
  <w:num w:numId="12">
    <w:abstractNumId w:val="18"/>
  </w:num>
  <w:num w:numId="13">
    <w:abstractNumId w:val="3"/>
  </w:num>
  <w:num w:numId="14">
    <w:abstractNumId w:val="4"/>
  </w:num>
  <w:num w:numId="15">
    <w:abstractNumId w:val="17"/>
  </w:num>
  <w:num w:numId="16">
    <w:abstractNumId w:val="8"/>
  </w:num>
  <w:num w:numId="17">
    <w:abstractNumId w:val="13"/>
  </w:num>
  <w:num w:numId="18">
    <w:abstractNumId w:val="21"/>
  </w:num>
  <w:num w:numId="19">
    <w:abstractNumId w:val="15"/>
  </w:num>
  <w:num w:numId="20">
    <w:abstractNumId w:val="11"/>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0D"/>
    <w:rsid w:val="00002276"/>
    <w:rsid w:val="00017E27"/>
    <w:rsid w:val="0002164C"/>
    <w:rsid w:val="0002301A"/>
    <w:rsid w:val="00076391"/>
    <w:rsid w:val="00077EB8"/>
    <w:rsid w:val="00086E15"/>
    <w:rsid w:val="000C1C10"/>
    <w:rsid w:val="000C67CC"/>
    <w:rsid w:val="000E0D95"/>
    <w:rsid w:val="00133D9C"/>
    <w:rsid w:val="0013572D"/>
    <w:rsid w:val="0015698E"/>
    <w:rsid w:val="001907F0"/>
    <w:rsid w:val="00193CFC"/>
    <w:rsid w:val="00194BBB"/>
    <w:rsid w:val="0019548C"/>
    <w:rsid w:val="001B5BBA"/>
    <w:rsid w:val="00206D8C"/>
    <w:rsid w:val="00226FF0"/>
    <w:rsid w:val="00295E9E"/>
    <w:rsid w:val="002A2E6F"/>
    <w:rsid w:val="002D5765"/>
    <w:rsid w:val="002D6641"/>
    <w:rsid w:val="00301C91"/>
    <w:rsid w:val="003153D7"/>
    <w:rsid w:val="00321A71"/>
    <w:rsid w:val="00326B83"/>
    <w:rsid w:val="003444F6"/>
    <w:rsid w:val="0036170D"/>
    <w:rsid w:val="003743CB"/>
    <w:rsid w:val="0038054C"/>
    <w:rsid w:val="003830EB"/>
    <w:rsid w:val="00392C86"/>
    <w:rsid w:val="003B132A"/>
    <w:rsid w:val="004024E8"/>
    <w:rsid w:val="00470B30"/>
    <w:rsid w:val="004B1B33"/>
    <w:rsid w:val="004B4D77"/>
    <w:rsid w:val="004F5B5C"/>
    <w:rsid w:val="00503C83"/>
    <w:rsid w:val="00505C9F"/>
    <w:rsid w:val="00507CC7"/>
    <w:rsid w:val="00507D4A"/>
    <w:rsid w:val="00511082"/>
    <w:rsid w:val="00512688"/>
    <w:rsid w:val="00520001"/>
    <w:rsid w:val="0055319E"/>
    <w:rsid w:val="005839F2"/>
    <w:rsid w:val="005B55FD"/>
    <w:rsid w:val="005D6BAC"/>
    <w:rsid w:val="006253F1"/>
    <w:rsid w:val="00650452"/>
    <w:rsid w:val="006A2645"/>
    <w:rsid w:val="006A3FA1"/>
    <w:rsid w:val="006C17D5"/>
    <w:rsid w:val="006D41CD"/>
    <w:rsid w:val="006E16BE"/>
    <w:rsid w:val="006E2754"/>
    <w:rsid w:val="007240A3"/>
    <w:rsid w:val="00731CC8"/>
    <w:rsid w:val="00740235"/>
    <w:rsid w:val="0078165C"/>
    <w:rsid w:val="00796549"/>
    <w:rsid w:val="007F17E0"/>
    <w:rsid w:val="00801302"/>
    <w:rsid w:val="00804387"/>
    <w:rsid w:val="008051F1"/>
    <w:rsid w:val="00807379"/>
    <w:rsid w:val="00816ECD"/>
    <w:rsid w:val="00845AB3"/>
    <w:rsid w:val="00857447"/>
    <w:rsid w:val="008A5B0B"/>
    <w:rsid w:val="008E55EA"/>
    <w:rsid w:val="008F053A"/>
    <w:rsid w:val="009017DD"/>
    <w:rsid w:val="009127F1"/>
    <w:rsid w:val="00920B65"/>
    <w:rsid w:val="00927015"/>
    <w:rsid w:val="00957425"/>
    <w:rsid w:val="009805C8"/>
    <w:rsid w:val="00983369"/>
    <w:rsid w:val="009C1B95"/>
    <w:rsid w:val="009F6336"/>
    <w:rsid w:val="00A34AB7"/>
    <w:rsid w:val="00A475E4"/>
    <w:rsid w:val="00A821A6"/>
    <w:rsid w:val="00A82483"/>
    <w:rsid w:val="00AA11D0"/>
    <w:rsid w:val="00AA44AD"/>
    <w:rsid w:val="00AB61BA"/>
    <w:rsid w:val="00AD22F0"/>
    <w:rsid w:val="00AF0682"/>
    <w:rsid w:val="00B260A8"/>
    <w:rsid w:val="00B42872"/>
    <w:rsid w:val="00B44D0A"/>
    <w:rsid w:val="00B47314"/>
    <w:rsid w:val="00B52F90"/>
    <w:rsid w:val="00B5371F"/>
    <w:rsid w:val="00B656F7"/>
    <w:rsid w:val="00B815BE"/>
    <w:rsid w:val="00B86BA7"/>
    <w:rsid w:val="00BB5A7C"/>
    <w:rsid w:val="00BB6387"/>
    <w:rsid w:val="00BB7678"/>
    <w:rsid w:val="00BD0DB1"/>
    <w:rsid w:val="00BD78B8"/>
    <w:rsid w:val="00BE6EE8"/>
    <w:rsid w:val="00BF5C26"/>
    <w:rsid w:val="00C03B8C"/>
    <w:rsid w:val="00C16603"/>
    <w:rsid w:val="00C30D0B"/>
    <w:rsid w:val="00C33DB3"/>
    <w:rsid w:val="00C36D9C"/>
    <w:rsid w:val="00C70636"/>
    <w:rsid w:val="00CC722B"/>
    <w:rsid w:val="00CD40D4"/>
    <w:rsid w:val="00CF3583"/>
    <w:rsid w:val="00CF536A"/>
    <w:rsid w:val="00D1738B"/>
    <w:rsid w:val="00D23A30"/>
    <w:rsid w:val="00D413B3"/>
    <w:rsid w:val="00D443BF"/>
    <w:rsid w:val="00D66F43"/>
    <w:rsid w:val="00D81F32"/>
    <w:rsid w:val="00D91D9F"/>
    <w:rsid w:val="00D94542"/>
    <w:rsid w:val="00DD308B"/>
    <w:rsid w:val="00DF39CE"/>
    <w:rsid w:val="00DF4BAF"/>
    <w:rsid w:val="00E063B0"/>
    <w:rsid w:val="00E3277D"/>
    <w:rsid w:val="00E75D66"/>
    <w:rsid w:val="00E93E57"/>
    <w:rsid w:val="00E97FCD"/>
    <w:rsid w:val="00EB3B0B"/>
    <w:rsid w:val="00EB653E"/>
    <w:rsid w:val="00EB65B2"/>
    <w:rsid w:val="00EC2FEC"/>
    <w:rsid w:val="00EF332F"/>
    <w:rsid w:val="00F25D30"/>
    <w:rsid w:val="00F67039"/>
    <w:rsid w:val="00FB41D1"/>
    <w:rsid w:val="00FC153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00A6"/>
  <w15:docId w15:val="{10EE2247-84F1-4086-AB41-0AD96EA8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1CC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833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3369"/>
    <w:rPr>
      <w:sz w:val="20"/>
      <w:szCs w:val="20"/>
    </w:rPr>
  </w:style>
  <w:style w:type="character" w:styleId="FootnoteReference">
    <w:name w:val="footnote reference"/>
    <w:basedOn w:val="DefaultParagraphFont"/>
    <w:uiPriority w:val="99"/>
    <w:semiHidden/>
    <w:unhideWhenUsed/>
    <w:rsid w:val="00983369"/>
    <w:rPr>
      <w:vertAlign w:val="superscript"/>
    </w:rPr>
  </w:style>
  <w:style w:type="table" w:styleId="TableGrid">
    <w:name w:val="Table Grid"/>
    <w:basedOn w:val="TableNormal"/>
    <w:uiPriority w:val="59"/>
    <w:rsid w:val="00CC7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336"/>
    <w:pPr>
      <w:ind w:left="720"/>
      <w:contextualSpacing/>
    </w:pPr>
  </w:style>
  <w:style w:type="paragraph" w:styleId="BalloonText">
    <w:name w:val="Balloon Text"/>
    <w:basedOn w:val="Normal"/>
    <w:link w:val="BalloonTextChar"/>
    <w:uiPriority w:val="99"/>
    <w:semiHidden/>
    <w:unhideWhenUsed/>
    <w:rsid w:val="009F6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336"/>
    <w:rPr>
      <w:rFonts w:ascii="Segoe UI" w:hAnsi="Segoe UI" w:cs="Segoe UI"/>
      <w:sz w:val="18"/>
      <w:szCs w:val="18"/>
    </w:rPr>
  </w:style>
  <w:style w:type="paragraph" w:styleId="Caption">
    <w:name w:val="caption"/>
    <w:basedOn w:val="Normal"/>
    <w:next w:val="Normal"/>
    <w:uiPriority w:val="35"/>
    <w:unhideWhenUsed/>
    <w:qFormat/>
    <w:rsid w:val="00512688"/>
    <w:pPr>
      <w:spacing w:line="240" w:lineRule="auto"/>
    </w:pPr>
    <w:rPr>
      <w:i/>
      <w:iCs/>
      <w:color w:val="1F497D" w:themeColor="text2"/>
      <w:sz w:val="18"/>
      <w:szCs w:val="18"/>
    </w:rPr>
  </w:style>
  <w:style w:type="character" w:styleId="Hyperlink">
    <w:name w:val="Hyperlink"/>
    <w:basedOn w:val="DefaultParagraphFont"/>
    <w:uiPriority w:val="99"/>
    <w:unhideWhenUsed/>
    <w:rsid w:val="00807379"/>
    <w:rPr>
      <w:color w:val="0000FF" w:themeColor="hyperlink"/>
      <w:u w:val="single"/>
    </w:rPr>
  </w:style>
  <w:style w:type="character" w:customStyle="1" w:styleId="im-mess-stack--tools">
    <w:name w:val="im-mess-stack--tools"/>
    <w:basedOn w:val="DefaultParagraphFont"/>
    <w:rsid w:val="00D91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518608">
      <w:bodyDiv w:val="1"/>
      <w:marLeft w:val="0"/>
      <w:marRight w:val="0"/>
      <w:marTop w:val="0"/>
      <w:marBottom w:val="0"/>
      <w:divBdr>
        <w:top w:val="none" w:sz="0" w:space="0" w:color="auto"/>
        <w:left w:val="none" w:sz="0" w:space="0" w:color="auto"/>
        <w:bottom w:val="none" w:sz="0" w:space="0" w:color="auto"/>
        <w:right w:val="none" w:sz="0" w:space="0" w:color="auto"/>
      </w:divBdr>
    </w:div>
    <w:div w:id="873931950">
      <w:bodyDiv w:val="1"/>
      <w:marLeft w:val="0"/>
      <w:marRight w:val="0"/>
      <w:marTop w:val="0"/>
      <w:marBottom w:val="0"/>
      <w:divBdr>
        <w:top w:val="none" w:sz="0" w:space="0" w:color="auto"/>
        <w:left w:val="none" w:sz="0" w:space="0" w:color="auto"/>
        <w:bottom w:val="none" w:sz="0" w:space="0" w:color="auto"/>
        <w:right w:val="none" w:sz="0" w:space="0" w:color="auto"/>
      </w:divBdr>
    </w:div>
    <w:div w:id="1021207598">
      <w:bodyDiv w:val="1"/>
      <w:marLeft w:val="0"/>
      <w:marRight w:val="0"/>
      <w:marTop w:val="0"/>
      <w:marBottom w:val="0"/>
      <w:divBdr>
        <w:top w:val="none" w:sz="0" w:space="0" w:color="auto"/>
        <w:left w:val="none" w:sz="0" w:space="0" w:color="auto"/>
        <w:bottom w:val="none" w:sz="0" w:space="0" w:color="auto"/>
        <w:right w:val="none" w:sz="0" w:space="0" w:color="auto"/>
      </w:divBdr>
    </w:div>
    <w:div w:id="1131939583">
      <w:bodyDiv w:val="1"/>
      <w:marLeft w:val="0"/>
      <w:marRight w:val="0"/>
      <w:marTop w:val="0"/>
      <w:marBottom w:val="0"/>
      <w:divBdr>
        <w:top w:val="none" w:sz="0" w:space="0" w:color="auto"/>
        <w:left w:val="none" w:sz="0" w:space="0" w:color="auto"/>
        <w:bottom w:val="none" w:sz="0" w:space="0" w:color="auto"/>
        <w:right w:val="none" w:sz="0" w:space="0" w:color="auto"/>
      </w:divBdr>
    </w:div>
    <w:div w:id="1361935544">
      <w:bodyDiv w:val="1"/>
      <w:marLeft w:val="0"/>
      <w:marRight w:val="0"/>
      <w:marTop w:val="0"/>
      <w:marBottom w:val="0"/>
      <w:divBdr>
        <w:top w:val="none" w:sz="0" w:space="0" w:color="auto"/>
        <w:left w:val="none" w:sz="0" w:space="0" w:color="auto"/>
        <w:bottom w:val="none" w:sz="0" w:space="0" w:color="auto"/>
        <w:right w:val="none" w:sz="0" w:space="0" w:color="auto"/>
      </w:divBdr>
    </w:div>
    <w:div w:id="1516767096">
      <w:bodyDiv w:val="1"/>
      <w:marLeft w:val="0"/>
      <w:marRight w:val="0"/>
      <w:marTop w:val="0"/>
      <w:marBottom w:val="0"/>
      <w:divBdr>
        <w:top w:val="none" w:sz="0" w:space="0" w:color="auto"/>
        <w:left w:val="none" w:sz="0" w:space="0" w:color="auto"/>
        <w:bottom w:val="none" w:sz="0" w:space="0" w:color="auto"/>
        <w:right w:val="none" w:sz="0" w:space="0" w:color="auto"/>
      </w:divBdr>
    </w:div>
    <w:div w:id="2102987439">
      <w:bodyDiv w:val="1"/>
      <w:marLeft w:val="0"/>
      <w:marRight w:val="0"/>
      <w:marTop w:val="0"/>
      <w:marBottom w:val="0"/>
      <w:divBdr>
        <w:top w:val="none" w:sz="0" w:space="0" w:color="auto"/>
        <w:left w:val="none" w:sz="0" w:space="0" w:color="auto"/>
        <w:bottom w:val="none" w:sz="0" w:space="0" w:color="auto"/>
        <w:right w:val="none" w:sz="0" w:space="0" w:color="auto"/>
      </w:divBdr>
      <w:divsChild>
        <w:div w:id="1790659063">
          <w:marLeft w:val="0"/>
          <w:marRight w:val="0"/>
          <w:marTop w:val="0"/>
          <w:marBottom w:val="0"/>
          <w:divBdr>
            <w:top w:val="none" w:sz="0" w:space="0" w:color="auto"/>
            <w:left w:val="none" w:sz="0" w:space="0" w:color="auto"/>
            <w:bottom w:val="none" w:sz="0" w:space="0" w:color="auto"/>
            <w:right w:val="none" w:sz="0" w:space="0" w:color="auto"/>
          </w:divBdr>
          <w:divsChild>
            <w:div w:id="1971011147">
              <w:marLeft w:val="1306"/>
              <w:marRight w:val="820"/>
              <w:marTop w:val="0"/>
              <w:marBottom w:val="0"/>
              <w:divBdr>
                <w:top w:val="none" w:sz="0" w:space="0" w:color="auto"/>
                <w:left w:val="none" w:sz="0" w:space="0" w:color="auto"/>
                <w:bottom w:val="none" w:sz="0" w:space="0" w:color="auto"/>
                <w:right w:val="none" w:sz="0" w:space="0" w:color="auto"/>
              </w:divBdr>
            </w:div>
          </w:divsChild>
        </w:div>
        <w:div w:id="850534319">
          <w:marLeft w:val="0"/>
          <w:marRight w:val="0"/>
          <w:marTop w:val="0"/>
          <w:marBottom w:val="0"/>
          <w:divBdr>
            <w:top w:val="none" w:sz="0" w:space="0" w:color="auto"/>
            <w:left w:val="none" w:sz="0" w:space="0" w:color="auto"/>
            <w:bottom w:val="none" w:sz="0" w:space="0" w:color="auto"/>
            <w:right w:val="none" w:sz="0" w:space="0" w:color="auto"/>
          </w:divBdr>
          <w:divsChild>
            <w:div w:id="1143038160">
              <w:marLeft w:val="0"/>
              <w:marRight w:val="0"/>
              <w:marTop w:val="0"/>
              <w:marBottom w:val="0"/>
              <w:divBdr>
                <w:top w:val="none" w:sz="0" w:space="0" w:color="auto"/>
                <w:left w:val="none" w:sz="0" w:space="0" w:color="auto"/>
                <w:bottom w:val="none" w:sz="0" w:space="0" w:color="auto"/>
                <w:right w:val="none" w:sz="0" w:space="0" w:color="auto"/>
              </w:divBdr>
              <w:divsChild>
                <w:div w:id="975984828">
                  <w:marLeft w:val="0"/>
                  <w:marRight w:val="0"/>
                  <w:marTop w:val="0"/>
                  <w:marBottom w:val="0"/>
                  <w:divBdr>
                    <w:top w:val="none" w:sz="0" w:space="0" w:color="auto"/>
                    <w:left w:val="none" w:sz="0" w:space="0" w:color="auto"/>
                    <w:bottom w:val="none" w:sz="0" w:space="0" w:color="auto"/>
                    <w:right w:val="none" w:sz="0" w:space="0" w:color="auto"/>
                  </w:divBdr>
                  <w:divsChild>
                    <w:div w:id="932324052">
                      <w:marLeft w:val="-3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76611">
          <w:marLeft w:val="0"/>
          <w:marRight w:val="0"/>
          <w:marTop w:val="0"/>
          <w:marBottom w:val="0"/>
          <w:divBdr>
            <w:top w:val="none" w:sz="0" w:space="0" w:color="auto"/>
            <w:left w:val="none" w:sz="0" w:space="0" w:color="auto"/>
            <w:bottom w:val="none" w:sz="0" w:space="0" w:color="auto"/>
            <w:right w:val="none" w:sz="0" w:space="0" w:color="auto"/>
          </w:divBdr>
          <w:divsChild>
            <w:div w:id="1742024991">
              <w:marLeft w:val="0"/>
              <w:marRight w:val="0"/>
              <w:marTop w:val="0"/>
              <w:marBottom w:val="0"/>
              <w:divBdr>
                <w:top w:val="none" w:sz="0" w:space="0" w:color="auto"/>
                <w:left w:val="none" w:sz="0" w:space="0" w:color="auto"/>
                <w:bottom w:val="none" w:sz="0" w:space="0" w:color="auto"/>
                <w:right w:val="none" w:sz="0" w:space="0" w:color="auto"/>
              </w:divBdr>
              <w:divsChild>
                <w:div w:id="101078588">
                  <w:marLeft w:val="0"/>
                  <w:marRight w:val="0"/>
                  <w:marTop w:val="0"/>
                  <w:marBottom w:val="0"/>
                  <w:divBdr>
                    <w:top w:val="none" w:sz="0" w:space="0" w:color="auto"/>
                    <w:left w:val="none" w:sz="0" w:space="0" w:color="auto"/>
                    <w:bottom w:val="none" w:sz="0" w:space="0" w:color="auto"/>
                    <w:right w:val="none" w:sz="0" w:space="0" w:color="auto"/>
                  </w:divBdr>
                </w:div>
              </w:divsChild>
            </w:div>
            <w:div w:id="450170350">
              <w:marLeft w:val="1306"/>
              <w:marRight w:val="820"/>
              <w:marTop w:val="0"/>
              <w:marBottom w:val="0"/>
              <w:divBdr>
                <w:top w:val="none" w:sz="0" w:space="0" w:color="auto"/>
                <w:left w:val="none" w:sz="0" w:space="0" w:color="auto"/>
                <w:bottom w:val="none" w:sz="0" w:space="0" w:color="auto"/>
                <w:right w:val="none" w:sz="0" w:space="0" w:color="auto"/>
              </w:divBdr>
            </w:div>
          </w:divsChild>
        </w:div>
        <w:div w:id="303437586">
          <w:marLeft w:val="0"/>
          <w:marRight w:val="0"/>
          <w:marTop w:val="0"/>
          <w:marBottom w:val="0"/>
          <w:divBdr>
            <w:top w:val="none" w:sz="0" w:space="0" w:color="auto"/>
            <w:left w:val="none" w:sz="0" w:space="0" w:color="auto"/>
            <w:bottom w:val="none" w:sz="0" w:space="0" w:color="auto"/>
            <w:right w:val="none" w:sz="0" w:space="0" w:color="auto"/>
          </w:divBdr>
          <w:divsChild>
            <w:div w:id="1562592598">
              <w:marLeft w:val="0"/>
              <w:marRight w:val="0"/>
              <w:marTop w:val="0"/>
              <w:marBottom w:val="0"/>
              <w:divBdr>
                <w:top w:val="none" w:sz="0" w:space="0" w:color="auto"/>
                <w:left w:val="none" w:sz="0" w:space="0" w:color="auto"/>
                <w:bottom w:val="none" w:sz="0" w:space="0" w:color="auto"/>
                <w:right w:val="none" w:sz="0" w:space="0" w:color="auto"/>
              </w:divBdr>
              <w:divsChild>
                <w:div w:id="660737788">
                  <w:marLeft w:val="0"/>
                  <w:marRight w:val="0"/>
                  <w:marTop w:val="0"/>
                  <w:marBottom w:val="0"/>
                  <w:divBdr>
                    <w:top w:val="none" w:sz="0" w:space="0" w:color="auto"/>
                    <w:left w:val="none" w:sz="0" w:space="0" w:color="auto"/>
                    <w:bottom w:val="none" w:sz="0" w:space="0" w:color="auto"/>
                    <w:right w:val="none" w:sz="0" w:space="0" w:color="auto"/>
                  </w:divBdr>
                  <w:divsChild>
                    <w:div w:id="11540366">
                      <w:marLeft w:val="-3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40748">
          <w:marLeft w:val="0"/>
          <w:marRight w:val="0"/>
          <w:marTop w:val="0"/>
          <w:marBottom w:val="0"/>
          <w:divBdr>
            <w:top w:val="none" w:sz="0" w:space="0" w:color="auto"/>
            <w:left w:val="none" w:sz="0" w:space="0" w:color="auto"/>
            <w:bottom w:val="none" w:sz="0" w:space="0" w:color="auto"/>
            <w:right w:val="none" w:sz="0" w:space="0" w:color="auto"/>
          </w:divBdr>
          <w:divsChild>
            <w:div w:id="189804960">
              <w:marLeft w:val="0"/>
              <w:marRight w:val="0"/>
              <w:marTop w:val="0"/>
              <w:marBottom w:val="0"/>
              <w:divBdr>
                <w:top w:val="none" w:sz="0" w:space="0" w:color="auto"/>
                <w:left w:val="none" w:sz="0" w:space="0" w:color="auto"/>
                <w:bottom w:val="none" w:sz="0" w:space="0" w:color="auto"/>
                <w:right w:val="none" w:sz="0" w:space="0" w:color="auto"/>
              </w:divBdr>
              <w:divsChild>
                <w:div w:id="159933884">
                  <w:marLeft w:val="0"/>
                  <w:marRight w:val="0"/>
                  <w:marTop w:val="0"/>
                  <w:marBottom w:val="0"/>
                  <w:divBdr>
                    <w:top w:val="none" w:sz="0" w:space="0" w:color="auto"/>
                    <w:left w:val="none" w:sz="0" w:space="0" w:color="auto"/>
                    <w:bottom w:val="none" w:sz="0" w:space="0" w:color="auto"/>
                    <w:right w:val="none" w:sz="0" w:space="0" w:color="auto"/>
                  </w:divBdr>
                </w:div>
              </w:divsChild>
            </w:div>
            <w:div w:id="524290835">
              <w:marLeft w:val="1306"/>
              <w:marRight w:val="820"/>
              <w:marTop w:val="0"/>
              <w:marBottom w:val="0"/>
              <w:divBdr>
                <w:top w:val="none" w:sz="0" w:space="0" w:color="auto"/>
                <w:left w:val="none" w:sz="0" w:space="0" w:color="auto"/>
                <w:bottom w:val="none" w:sz="0" w:space="0" w:color="auto"/>
                <w:right w:val="none" w:sz="0" w:space="0" w:color="auto"/>
              </w:divBdr>
            </w:div>
          </w:divsChild>
        </w:div>
        <w:div w:id="1145969185">
          <w:marLeft w:val="0"/>
          <w:marRight w:val="0"/>
          <w:marTop w:val="0"/>
          <w:marBottom w:val="0"/>
          <w:divBdr>
            <w:top w:val="none" w:sz="0" w:space="0" w:color="auto"/>
            <w:left w:val="none" w:sz="0" w:space="0" w:color="auto"/>
            <w:bottom w:val="none" w:sz="0" w:space="0" w:color="auto"/>
            <w:right w:val="none" w:sz="0" w:space="0" w:color="auto"/>
          </w:divBdr>
          <w:divsChild>
            <w:div w:id="1110199667">
              <w:marLeft w:val="0"/>
              <w:marRight w:val="0"/>
              <w:marTop w:val="0"/>
              <w:marBottom w:val="0"/>
              <w:divBdr>
                <w:top w:val="none" w:sz="0" w:space="0" w:color="auto"/>
                <w:left w:val="none" w:sz="0" w:space="0" w:color="auto"/>
                <w:bottom w:val="none" w:sz="0" w:space="0" w:color="auto"/>
                <w:right w:val="none" w:sz="0" w:space="0" w:color="auto"/>
              </w:divBdr>
              <w:divsChild>
                <w:div w:id="141777638">
                  <w:marLeft w:val="0"/>
                  <w:marRight w:val="0"/>
                  <w:marTop w:val="0"/>
                  <w:marBottom w:val="0"/>
                  <w:divBdr>
                    <w:top w:val="none" w:sz="0" w:space="0" w:color="auto"/>
                    <w:left w:val="none" w:sz="0" w:space="0" w:color="auto"/>
                    <w:bottom w:val="none" w:sz="0" w:space="0" w:color="auto"/>
                    <w:right w:val="none" w:sz="0" w:space="0" w:color="auto"/>
                  </w:divBdr>
                  <w:divsChild>
                    <w:div w:id="2031299557">
                      <w:marLeft w:val="-3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7184">
          <w:marLeft w:val="0"/>
          <w:marRight w:val="0"/>
          <w:marTop w:val="0"/>
          <w:marBottom w:val="0"/>
          <w:divBdr>
            <w:top w:val="none" w:sz="0" w:space="0" w:color="auto"/>
            <w:left w:val="none" w:sz="0" w:space="0" w:color="auto"/>
            <w:bottom w:val="none" w:sz="0" w:space="0" w:color="auto"/>
            <w:right w:val="none" w:sz="0" w:space="0" w:color="auto"/>
          </w:divBdr>
          <w:divsChild>
            <w:div w:id="278294704">
              <w:marLeft w:val="0"/>
              <w:marRight w:val="0"/>
              <w:marTop w:val="0"/>
              <w:marBottom w:val="0"/>
              <w:divBdr>
                <w:top w:val="none" w:sz="0" w:space="0" w:color="auto"/>
                <w:left w:val="none" w:sz="0" w:space="0" w:color="auto"/>
                <w:bottom w:val="none" w:sz="0" w:space="0" w:color="auto"/>
                <w:right w:val="none" w:sz="0" w:space="0" w:color="auto"/>
              </w:divBdr>
              <w:divsChild>
                <w:div w:id="45573217">
                  <w:marLeft w:val="0"/>
                  <w:marRight w:val="0"/>
                  <w:marTop w:val="0"/>
                  <w:marBottom w:val="0"/>
                  <w:divBdr>
                    <w:top w:val="none" w:sz="0" w:space="0" w:color="auto"/>
                    <w:left w:val="none" w:sz="0" w:space="0" w:color="auto"/>
                    <w:bottom w:val="none" w:sz="0" w:space="0" w:color="auto"/>
                    <w:right w:val="none" w:sz="0" w:space="0" w:color="auto"/>
                  </w:divBdr>
                </w:div>
              </w:divsChild>
            </w:div>
            <w:div w:id="418528957">
              <w:marLeft w:val="1306"/>
              <w:marRight w:val="8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1091;&#1095;&#1077;&#1073;&#1072;\&#1075;&#1088;&#1072;&#1092;&#1080;&#1082;&#1080;%20&#1087;&#1086;%20&#1085;&#1072;&#1091;&#1095;&#1082;&#107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91;&#1095;&#1077;&#1073;&#1072;\&#1075;&#1088;&#1072;&#1092;&#1080;&#1082;&#1080;%20&#1087;&#1086;%20&#1085;&#1072;&#1091;&#1095;&#1082;&#10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8193266994635"/>
          <c:y val="5.9139784946236701E-2"/>
          <c:w val="0.53865641704141698"/>
          <c:h val="0.81443527220387901"/>
        </c:manualLayout>
      </c:layout>
      <c:barChart>
        <c:barDir val="bar"/>
        <c:grouping val="clustered"/>
        <c:varyColors val="0"/>
        <c:ser>
          <c:idx val="0"/>
          <c:order val="0"/>
          <c:spPr>
            <a:solidFill>
              <a:schemeClr val="lt1"/>
            </a:solidFill>
            <a:ln w="25400" cap="flat" cmpd="sng" algn="ctr">
              <a:solidFill>
                <a:schemeClr val="dk1"/>
              </a:solidFill>
              <a:prstDash val="solid"/>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'[графики по научке.xlsx]Лист1'!$A$25:$A$35</c:f>
              <c:strCache>
                <c:ptCount val="11"/>
                <c:pt idx="0">
                  <c:v>Enhancing transaction monitoring systems</c:v>
                </c:pt>
                <c:pt idx="1">
                  <c:v>Reviewing, updating, and maintaining KYC</c:v>
                </c:pt>
                <c:pt idx="2">
                  <c:v>Recruitment</c:v>
                </c:pt>
                <c:pt idx="3">
                  <c:v>Provision of training</c:v>
                </c:pt>
                <c:pt idx="4">
                  <c:v>Implementation of FATCA</c:v>
                </c:pt>
                <c:pt idx="5">
                  <c:v>Procedural updates</c:v>
                </c:pt>
                <c:pt idx="6">
                  <c:v>Maintaining sanction lists</c:v>
                </c:pt>
                <c:pt idx="7">
                  <c:v>Increasing internal reporting requirements</c:v>
                </c:pt>
                <c:pt idx="8">
                  <c:v>Anti-bribery and corruption activities</c:v>
                </c:pt>
                <c:pt idx="9">
                  <c:v>Transaction look-back reviews</c:v>
                </c:pt>
                <c:pt idx="10">
                  <c:v>Other</c:v>
                </c:pt>
              </c:strCache>
            </c:strRef>
          </c:cat>
          <c:val>
            <c:numRef>
              <c:f>'[графики по научке.xlsx]Лист1'!$B$25:$B$35</c:f>
              <c:numCache>
                <c:formatCode>General</c:formatCode>
                <c:ptCount val="11"/>
                <c:pt idx="0">
                  <c:v>60</c:v>
                </c:pt>
                <c:pt idx="1">
                  <c:v>59</c:v>
                </c:pt>
                <c:pt idx="2">
                  <c:v>42</c:v>
                </c:pt>
                <c:pt idx="3">
                  <c:v>35</c:v>
                </c:pt>
                <c:pt idx="4">
                  <c:v>35</c:v>
                </c:pt>
                <c:pt idx="5">
                  <c:v>25</c:v>
                </c:pt>
                <c:pt idx="6">
                  <c:v>23</c:v>
                </c:pt>
                <c:pt idx="7">
                  <c:v>12</c:v>
                </c:pt>
                <c:pt idx="8">
                  <c:v>11</c:v>
                </c:pt>
                <c:pt idx="9">
                  <c:v>8</c:v>
                </c:pt>
                <c:pt idx="10">
                  <c:v>4</c:v>
                </c:pt>
              </c:numCache>
            </c:numRef>
          </c:val>
          <c:extLst xmlns:c16r2="http://schemas.microsoft.com/office/drawing/2015/06/chart">
            <c:ext xmlns:c16="http://schemas.microsoft.com/office/drawing/2014/chart" uri="{C3380CC4-5D6E-409C-BE32-E72D297353CC}">
              <c16:uniqueId val="{00000000-510F-4E5F-AC62-AF0E4E38A05B}"/>
            </c:ext>
          </c:extLst>
        </c:ser>
        <c:dLbls>
          <c:showLegendKey val="0"/>
          <c:showVal val="0"/>
          <c:showCatName val="0"/>
          <c:showSerName val="0"/>
          <c:showPercent val="0"/>
          <c:showBubbleSize val="0"/>
        </c:dLbls>
        <c:gapWidth val="150"/>
        <c:axId val="-989424448"/>
        <c:axId val="-991743936"/>
      </c:barChart>
      <c:catAx>
        <c:axId val="-989424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91743936"/>
        <c:crosses val="autoZero"/>
        <c:auto val="1"/>
        <c:lblAlgn val="ctr"/>
        <c:lblOffset val="100"/>
        <c:noMultiLvlLbl val="0"/>
      </c:catAx>
      <c:valAx>
        <c:axId val="-991743936"/>
        <c:scaling>
          <c:orientation val="minMax"/>
          <c:max val="65"/>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89424448"/>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lt1"/>
            </a:solidFill>
            <a:ln w="25400" cap="flat" cmpd="sng" algn="ctr">
              <a:solidFill>
                <a:schemeClr val="dk1"/>
              </a:solidFill>
              <a:prstDash val="solid"/>
              <a:round/>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'[графики по научке.xlsx]Лист1'!$A$1:$A$10</c:f>
              <c:strCache>
                <c:ptCount val="10"/>
                <c:pt idx="0">
                  <c:v>Increased know your client (KYC) requirements for certain client segments</c:v>
                </c:pt>
                <c:pt idx="1">
                  <c:v>Enhanced compliance monitoring, escalation and reporting systems </c:v>
                </c:pt>
                <c:pt idx="2">
                  <c:v>Implemented increased controls and/or quality assurance measures </c:v>
                </c:pt>
                <c:pt idx="3">
                  <c:v>Conducted transaction monitoring data validation</c:v>
                </c:pt>
                <c:pt idx="4">
                  <c:v>Aligned people, technology or process to ensure consistent global approach</c:v>
                </c:pt>
                <c:pt idx="5">
                  <c:v>Reduced exposure via exiting high risk client segments or jurisdictions</c:v>
                </c:pt>
                <c:pt idx="6">
                  <c:v>Instituted data privacy limitations on information sharing across jurisdictions </c:v>
                </c:pt>
                <c:pt idx="7">
                  <c:v>Reduced outsourcing/off-shoring of transaction surveillance functions</c:v>
                </c:pt>
                <c:pt idx="8">
                  <c:v>Considered relocating headquarters of certain functions to other jurisdictions </c:v>
                </c:pt>
                <c:pt idx="9">
                  <c:v>Other</c:v>
                </c:pt>
              </c:strCache>
            </c:strRef>
          </c:cat>
          <c:val>
            <c:numRef>
              <c:f>'[графики по научке.xlsx]Лист1'!$B$1:$B$10</c:f>
              <c:numCache>
                <c:formatCode>General</c:formatCode>
                <c:ptCount val="10"/>
                <c:pt idx="0">
                  <c:v>60</c:v>
                </c:pt>
                <c:pt idx="1">
                  <c:v>55</c:v>
                </c:pt>
                <c:pt idx="2">
                  <c:v>52</c:v>
                </c:pt>
                <c:pt idx="3">
                  <c:v>43</c:v>
                </c:pt>
                <c:pt idx="4">
                  <c:v>43</c:v>
                </c:pt>
                <c:pt idx="5">
                  <c:v>31</c:v>
                </c:pt>
                <c:pt idx="6">
                  <c:v>15</c:v>
                </c:pt>
                <c:pt idx="7">
                  <c:v>12</c:v>
                </c:pt>
                <c:pt idx="8">
                  <c:v>3</c:v>
                </c:pt>
                <c:pt idx="9">
                  <c:v>10</c:v>
                </c:pt>
              </c:numCache>
            </c:numRef>
          </c:val>
          <c:extLst xmlns:c16r2="http://schemas.microsoft.com/office/drawing/2015/06/chart">
            <c:ext xmlns:c16="http://schemas.microsoft.com/office/drawing/2014/chart" uri="{C3380CC4-5D6E-409C-BE32-E72D297353CC}">
              <c16:uniqueId val="{00000000-D266-404C-9517-82BCB436FE94}"/>
            </c:ext>
          </c:extLst>
        </c:ser>
        <c:dLbls>
          <c:showLegendKey val="0"/>
          <c:showVal val="1"/>
          <c:showCatName val="0"/>
          <c:showSerName val="0"/>
          <c:showPercent val="0"/>
          <c:showBubbleSize val="0"/>
        </c:dLbls>
        <c:gapWidth val="55"/>
        <c:overlap val="100"/>
        <c:axId val="-1058606480"/>
        <c:axId val="-1058614640"/>
      </c:barChart>
      <c:catAx>
        <c:axId val="-1058606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8614640"/>
        <c:crosses val="autoZero"/>
        <c:auto val="1"/>
        <c:lblAlgn val="r"/>
        <c:lblOffset val="100"/>
        <c:noMultiLvlLbl val="0"/>
      </c:catAx>
      <c:valAx>
        <c:axId val="-1058614640"/>
        <c:scaling>
          <c:orientation val="minMax"/>
          <c:max val="65"/>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1058606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9F7AF-AD93-4A10-9181-13240904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1786</Words>
  <Characters>10182</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III</cp:lastModifiedBy>
  <cp:revision>10</cp:revision>
  <dcterms:created xsi:type="dcterms:W3CDTF">2017-11-24T10:39:00Z</dcterms:created>
  <dcterms:modified xsi:type="dcterms:W3CDTF">2017-11-28T21:34:00Z</dcterms:modified>
</cp:coreProperties>
</file>