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0B1C0" w14:textId="2C9D60B4" w:rsidR="00E22AD0" w:rsidRDefault="00D33F04" w:rsidP="00EF22CA">
      <w:pPr>
        <w:spacing w:line="240" w:lineRule="auto"/>
        <w:ind w:firstLine="0"/>
        <w:jc w:val="left"/>
        <w:rPr>
          <w:b/>
          <w:lang w:val="en-US"/>
        </w:rPr>
      </w:pPr>
      <w:bookmarkStart w:id="0" w:name="_GoBack"/>
      <w:bookmarkEnd w:id="0"/>
      <w:r w:rsidRPr="00D33F04">
        <w:rPr>
          <w:b/>
          <w:lang w:val="en-US"/>
        </w:rPr>
        <w:t xml:space="preserve">Analysis of </w:t>
      </w:r>
      <w:r w:rsidR="00EF22CA" w:rsidRPr="00D33F04">
        <w:rPr>
          <w:b/>
          <w:lang w:val="en-US"/>
        </w:rPr>
        <w:t xml:space="preserve">Methods </w:t>
      </w:r>
      <w:r w:rsidRPr="00D33F04">
        <w:rPr>
          <w:b/>
          <w:lang w:val="en-US"/>
        </w:rPr>
        <w:t xml:space="preserve">for </w:t>
      </w:r>
      <w:r w:rsidR="00EF22CA" w:rsidRPr="00D33F04">
        <w:rPr>
          <w:b/>
          <w:lang w:val="en-US"/>
        </w:rPr>
        <w:t xml:space="preserve">Regulating </w:t>
      </w:r>
      <w:r w:rsidRPr="00D33F04">
        <w:rPr>
          <w:b/>
          <w:lang w:val="en-US"/>
        </w:rPr>
        <w:t xml:space="preserve">the </w:t>
      </w:r>
      <w:r w:rsidR="00EF22CA" w:rsidRPr="00D33F04">
        <w:rPr>
          <w:b/>
          <w:lang w:val="en-US"/>
        </w:rPr>
        <w:t>Activit</w:t>
      </w:r>
      <w:r w:rsidR="00EF22CA">
        <w:rPr>
          <w:b/>
          <w:lang w:val="en-US"/>
        </w:rPr>
        <w:t xml:space="preserve">y </w:t>
      </w:r>
      <w:r w:rsidR="00D31ECA">
        <w:rPr>
          <w:b/>
          <w:lang w:val="en-US"/>
        </w:rPr>
        <w:t xml:space="preserve">of </w:t>
      </w:r>
      <w:r w:rsidR="00EF22CA">
        <w:rPr>
          <w:b/>
          <w:lang w:val="en-US"/>
        </w:rPr>
        <w:t xml:space="preserve">Pawnshops </w:t>
      </w:r>
      <w:r w:rsidR="00EF22CA">
        <w:rPr>
          <w:b/>
          <w:lang w:val="en-US"/>
        </w:rPr>
        <w:br/>
      </w:r>
      <w:r w:rsidR="00D31ECA">
        <w:rPr>
          <w:b/>
          <w:lang w:val="en-US"/>
        </w:rPr>
        <w:t xml:space="preserve">in the </w:t>
      </w:r>
      <w:r w:rsidR="00EF22CA">
        <w:rPr>
          <w:b/>
          <w:lang w:val="en-US"/>
        </w:rPr>
        <w:t xml:space="preserve">Field </w:t>
      </w:r>
      <w:r w:rsidR="00D31ECA">
        <w:rPr>
          <w:b/>
          <w:lang w:val="en-US"/>
        </w:rPr>
        <w:t>of AML/CFT</w:t>
      </w:r>
    </w:p>
    <w:p w14:paraId="6601066A" w14:textId="77777777" w:rsidR="001230E5" w:rsidRPr="001230E5" w:rsidRDefault="001230E5" w:rsidP="001230E5">
      <w:pPr>
        <w:tabs>
          <w:tab w:val="left" w:pos="8505"/>
        </w:tabs>
        <w:spacing w:line="240" w:lineRule="auto"/>
        <w:ind w:right="-2" w:firstLine="0"/>
        <w:jc w:val="left"/>
        <w:rPr>
          <w:rFonts w:cs="Times New Roman"/>
          <w:b/>
          <w:sz w:val="24"/>
          <w:szCs w:val="24"/>
          <w:lang w:val="en-US"/>
        </w:rPr>
      </w:pPr>
    </w:p>
    <w:p w14:paraId="5FF8C742" w14:textId="77777777" w:rsidR="001230E5" w:rsidRPr="001230E5" w:rsidRDefault="001230E5" w:rsidP="00244E76">
      <w:pPr>
        <w:tabs>
          <w:tab w:val="left" w:pos="8505"/>
        </w:tabs>
        <w:ind w:left="567" w:right="-2" w:firstLine="0"/>
        <w:jc w:val="left"/>
        <w:rPr>
          <w:rFonts w:cs="Times New Roman"/>
          <w:b/>
          <w:sz w:val="24"/>
          <w:szCs w:val="24"/>
          <w:lang w:val="en-US"/>
        </w:rPr>
      </w:pPr>
      <w:r w:rsidRPr="001230E5">
        <w:rPr>
          <w:rFonts w:cs="Times New Roman"/>
          <w:b/>
          <w:sz w:val="24"/>
          <w:szCs w:val="24"/>
          <w:lang w:val="en-US"/>
        </w:rPr>
        <w:t xml:space="preserve">C. N. Surgutanova, </w:t>
      </w:r>
      <w:r w:rsidRPr="001230E5">
        <w:rPr>
          <w:rFonts w:cs="Times New Roman"/>
          <w:b/>
          <w:color w:val="000000" w:themeColor="text1"/>
          <w:sz w:val="24"/>
          <w:szCs w:val="24"/>
          <w:lang w:val="en-US"/>
        </w:rPr>
        <w:t>T. S. Zubarev</w:t>
      </w:r>
    </w:p>
    <w:p w14:paraId="5470CD4A" w14:textId="11103D7D" w:rsidR="001230E5" w:rsidRPr="001230E5" w:rsidRDefault="001230E5" w:rsidP="00244E76">
      <w:pPr>
        <w:tabs>
          <w:tab w:val="left" w:pos="8505"/>
        </w:tabs>
        <w:ind w:left="567" w:right="-2" w:firstLine="0"/>
        <w:rPr>
          <w:rFonts w:cs="Times New Roman"/>
          <w:i/>
          <w:sz w:val="24"/>
          <w:szCs w:val="24"/>
          <w:lang w:val="en-US"/>
        </w:rPr>
      </w:pPr>
      <w:r w:rsidRPr="001230E5">
        <w:rPr>
          <w:rFonts w:cs="Times New Roman"/>
          <w:i/>
          <w:sz w:val="24"/>
          <w:szCs w:val="24"/>
          <w:lang w:val="en-US"/>
        </w:rPr>
        <w:t>Financial university under the Government of Russian Federation, Moscow, Russia</w:t>
      </w:r>
    </w:p>
    <w:p w14:paraId="251D2B84" w14:textId="64CFEFB5" w:rsidR="001230E5" w:rsidRPr="00244E76" w:rsidRDefault="001230E5" w:rsidP="00244E76">
      <w:pPr>
        <w:tabs>
          <w:tab w:val="left" w:pos="8505"/>
        </w:tabs>
        <w:ind w:left="567" w:right="-2" w:firstLine="0"/>
        <w:rPr>
          <w:rFonts w:cs="Times New Roman"/>
          <w:sz w:val="24"/>
          <w:szCs w:val="24"/>
          <w:lang w:val="en-US"/>
        </w:rPr>
      </w:pPr>
      <w:r w:rsidRPr="001230E5">
        <w:rPr>
          <w:rFonts w:cs="Times New Roman"/>
          <w:sz w:val="24"/>
          <w:szCs w:val="24"/>
          <w:lang w:val="en-US"/>
        </w:rPr>
        <w:t>C. N</w:t>
      </w:r>
      <w:r w:rsidRPr="00244E76">
        <w:rPr>
          <w:rFonts w:cs="Times New Roman"/>
          <w:sz w:val="24"/>
          <w:szCs w:val="24"/>
          <w:lang w:val="en-US"/>
        </w:rPr>
        <w:t>. Surgutanova: ORCiD 0000-0002-2059-3494; kristisurgutanov@mail.ru</w:t>
      </w:r>
    </w:p>
    <w:p w14:paraId="247FC040" w14:textId="274B57D4" w:rsidR="001230E5" w:rsidRPr="00244E76" w:rsidRDefault="001230E5" w:rsidP="00244E76">
      <w:pPr>
        <w:tabs>
          <w:tab w:val="left" w:pos="8505"/>
        </w:tabs>
        <w:ind w:left="567" w:right="-2" w:firstLine="0"/>
        <w:rPr>
          <w:rFonts w:cs="Times New Roman"/>
          <w:sz w:val="24"/>
          <w:szCs w:val="24"/>
          <w:lang w:val="en-US"/>
        </w:rPr>
      </w:pPr>
      <w:r w:rsidRPr="00244E76">
        <w:rPr>
          <w:rFonts w:cs="Times New Roman"/>
          <w:sz w:val="24"/>
          <w:szCs w:val="24"/>
          <w:lang w:val="en-US"/>
        </w:rPr>
        <w:t>T. S. Zubarev: ORCiD</w:t>
      </w:r>
      <w:r w:rsidR="00244E76" w:rsidRPr="00244E76">
        <w:rPr>
          <w:rFonts w:cs="Times New Roman"/>
          <w:sz w:val="24"/>
          <w:szCs w:val="24"/>
          <w:lang w:val="en-US"/>
        </w:rPr>
        <w:t xml:space="preserve"> </w:t>
      </w:r>
      <w:r w:rsidR="00244E76" w:rsidRPr="00244E76">
        <w:rPr>
          <w:rFonts w:cs="Times New Roman"/>
          <w:sz w:val="24"/>
          <w:szCs w:val="24"/>
          <w:shd w:val="clear" w:color="auto" w:fill="FFFFFF"/>
          <w:lang w:val="en-US"/>
        </w:rPr>
        <w:t>0000-0001-8324-1616;</w:t>
      </w:r>
      <w:r w:rsidRPr="00244E76">
        <w:rPr>
          <w:rFonts w:cs="Times New Roman"/>
          <w:sz w:val="24"/>
          <w:szCs w:val="24"/>
          <w:lang w:val="en-US"/>
        </w:rPr>
        <w:t xml:space="preserve"> timzubarev4@gmail.com</w:t>
      </w:r>
    </w:p>
    <w:p w14:paraId="596EF98A" w14:textId="4BBF1A6C" w:rsidR="001230E5" w:rsidRPr="00244E76" w:rsidRDefault="001230E5" w:rsidP="00EF22CA">
      <w:pPr>
        <w:tabs>
          <w:tab w:val="left" w:pos="8505"/>
        </w:tabs>
        <w:spacing w:line="240" w:lineRule="auto"/>
        <w:ind w:left="567" w:right="-2" w:firstLine="0"/>
        <w:rPr>
          <w:sz w:val="24"/>
          <w:szCs w:val="24"/>
          <w:lang w:val="en-US"/>
        </w:rPr>
      </w:pPr>
      <w:r w:rsidRPr="001230E5">
        <w:rPr>
          <w:rFonts w:cs="Times New Roman"/>
          <w:sz w:val="24"/>
          <w:szCs w:val="24"/>
          <w:lang w:val="en-US"/>
        </w:rPr>
        <w:t xml:space="preserve">Scientific adviser: Botasheva Ludmilla Hasanovna, PhD in </w:t>
      </w:r>
      <w:r w:rsidR="00CB0BDA">
        <w:rPr>
          <w:rFonts w:cs="Times New Roman"/>
          <w:sz w:val="24"/>
          <w:szCs w:val="24"/>
          <w:lang w:val="en-US"/>
        </w:rPr>
        <w:t>E</w:t>
      </w:r>
      <w:r w:rsidRPr="001230E5">
        <w:rPr>
          <w:rFonts w:cs="Times New Roman"/>
          <w:sz w:val="24"/>
          <w:szCs w:val="24"/>
          <w:lang w:val="en-US"/>
        </w:rPr>
        <w:t xml:space="preserve">conomics, </w:t>
      </w:r>
      <w:r w:rsidR="00CB0BDA">
        <w:rPr>
          <w:rFonts w:cs="Times New Roman"/>
          <w:sz w:val="24"/>
          <w:szCs w:val="24"/>
          <w:lang w:val="en-US"/>
        </w:rPr>
        <w:t>A</w:t>
      </w:r>
      <w:r w:rsidRPr="001230E5">
        <w:rPr>
          <w:rFonts w:cs="Times New Roman"/>
          <w:sz w:val="24"/>
          <w:szCs w:val="24"/>
          <w:lang w:val="en-US"/>
        </w:rPr>
        <w:t xml:space="preserve">ssociate </w:t>
      </w:r>
      <w:r w:rsidR="00CB0BDA">
        <w:rPr>
          <w:rFonts w:cs="Times New Roman"/>
          <w:sz w:val="24"/>
          <w:szCs w:val="24"/>
          <w:lang w:val="en-US"/>
        </w:rPr>
        <w:t>P</w:t>
      </w:r>
      <w:r w:rsidRPr="001230E5">
        <w:rPr>
          <w:rFonts w:cs="Times New Roman"/>
          <w:sz w:val="24"/>
          <w:szCs w:val="24"/>
          <w:lang w:val="en-US"/>
        </w:rPr>
        <w:t xml:space="preserve">rofessor at the department </w:t>
      </w:r>
      <w:r w:rsidR="00CB0BDA">
        <w:rPr>
          <w:rFonts w:cs="Times New Roman"/>
          <w:sz w:val="24"/>
          <w:szCs w:val="24"/>
          <w:lang w:val="en-US"/>
        </w:rPr>
        <w:t xml:space="preserve">of </w:t>
      </w:r>
      <w:r w:rsidRPr="001230E5">
        <w:rPr>
          <w:rFonts w:cs="Times New Roman"/>
          <w:sz w:val="24"/>
          <w:szCs w:val="24"/>
          <w:lang w:val="en-US"/>
        </w:rPr>
        <w:t xml:space="preserve">Analysis </w:t>
      </w:r>
      <w:r w:rsidR="00CB0BDA">
        <w:rPr>
          <w:rFonts w:cs="Times New Roman"/>
          <w:sz w:val="24"/>
          <w:szCs w:val="24"/>
          <w:lang w:val="en-US"/>
        </w:rPr>
        <w:t>R</w:t>
      </w:r>
      <w:r w:rsidRPr="001230E5">
        <w:rPr>
          <w:rFonts w:cs="Times New Roman"/>
          <w:sz w:val="24"/>
          <w:szCs w:val="24"/>
          <w:lang w:val="en-US"/>
        </w:rPr>
        <w:t xml:space="preserve">isks and </w:t>
      </w:r>
      <w:r w:rsidR="00CB0BDA">
        <w:rPr>
          <w:rFonts w:cs="Times New Roman"/>
          <w:sz w:val="24"/>
          <w:szCs w:val="24"/>
          <w:lang w:val="en-US"/>
        </w:rPr>
        <w:t>E</w:t>
      </w:r>
      <w:r w:rsidRPr="001230E5">
        <w:rPr>
          <w:rFonts w:cs="Times New Roman"/>
          <w:sz w:val="24"/>
          <w:szCs w:val="24"/>
          <w:lang w:val="en-US"/>
        </w:rPr>
        <w:t xml:space="preserve">conomic </w:t>
      </w:r>
      <w:r w:rsidR="00CB0BDA">
        <w:rPr>
          <w:rFonts w:cs="Times New Roman"/>
          <w:sz w:val="24"/>
          <w:szCs w:val="24"/>
          <w:lang w:val="en-US"/>
        </w:rPr>
        <w:t>S</w:t>
      </w:r>
      <w:r w:rsidRPr="001230E5">
        <w:rPr>
          <w:rFonts w:cs="Times New Roman"/>
          <w:sz w:val="24"/>
          <w:szCs w:val="24"/>
          <w:lang w:val="en-US"/>
        </w:rPr>
        <w:t xml:space="preserve">afety, Financial </w:t>
      </w:r>
      <w:r w:rsidR="00CB0BDA">
        <w:rPr>
          <w:rFonts w:cs="Times New Roman"/>
          <w:sz w:val="24"/>
          <w:szCs w:val="24"/>
          <w:lang w:val="en-US"/>
        </w:rPr>
        <w:t>U</w:t>
      </w:r>
      <w:r w:rsidRPr="001230E5">
        <w:rPr>
          <w:rFonts w:cs="Times New Roman"/>
          <w:sz w:val="24"/>
          <w:szCs w:val="24"/>
          <w:lang w:val="en-US"/>
        </w:rPr>
        <w:t>niversity under the Government of</w:t>
      </w:r>
      <w:r w:rsidR="00244E76">
        <w:rPr>
          <w:rFonts w:cs="Times New Roman"/>
          <w:sz w:val="24"/>
          <w:szCs w:val="24"/>
          <w:lang w:val="en-US"/>
        </w:rPr>
        <w:t xml:space="preserve"> </w:t>
      </w:r>
      <w:r w:rsidR="00CB0BDA">
        <w:rPr>
          <w:rFonts w:cs="Times New Roman"/>
          <w:sz w:val="24"/>
          <w:szCs w:val="24"/>
          <w:lang w:val="en-US"/>
        </w:rPr>
        <w:t xml:space="preserve">the </w:t>
      </w:r>
      <w:r w:rsidR="00244E76">
        <w:rPr>
          <w:rFonts w:cs="Times New Roman"/>
          <w:sz w:val="24"/>
          <w:szCs w:val="24"/>
          <w:lang w:val="en-US"/>
        </w:rPr>
        <w:t>Russian Federation</w:t>
      </w:r>
    </w:p>
    <w:p w14:paraId="06806C20" w14:textId="77777777" w:rsidR="001230E5" w:rsidRPr="001230E5" w:rsidRDefault="001230E5" w:rsidP="001230E5">
      <w:pPr>
        <w:spacing w:line="240" w:lineRule="auto"/>
        <w:ind w:left="426" w:firstLine="0"/>
        <w:rPr>
          <w:b/>
          <w:lang w:val="en-US"/>
        </w:rPr>
      </w:pPr>
    </w:p>
    <w:p w14:paraId="49725EB6" w14:textId="4A0D7340" w:rsidR="009E313E" w:rsidRPr="001230E5" w:rsidRDefault="00C4513B" w:rsidP="00B051AA">
      <w:pPr>
        <w:spacing w:line="240" w:lineRule="auto"/>
        <w:ind w:left="426" w:firstLine="0"/>
        <w:rPr>
          <w:b/>
          <w:sz w:val="24"/>
          <w:lang w:val="en-US"/>
        </w:rPr>
      </w:pPr>
      <w:r w:rsidRPr="001230E5">
        <w:rPr>
          <w:b/>
          <w:sz w:val="24"/>
          <w:lang w:val="en-US"/>
        </w:rPr>
        <w:t>Abstract</w:t>
      </w:r>
      <w:bookmarkStart w:id="1" w:name="_Hlk498161293"/>
      <w:r w:rsidR="001230E5" w:rsidRPr="001230E5">
        <w:rPr>
          <w:b/>
          <w:sz w:val="24"/>
          <w:lang w:val="en-US"/>
        </w:rPr>
        <w:t xml:space="preserve">: </w:t>
      </w:r>
      <w:r w:rsidRPr="001230E5">
        <w:rPr>
          <w:sz w:val="24"/>
          <w:lang w:val="en-US"/>
        </w:rPr>
        <w:t xml:space="preserve">The </w:t>
      </w:r>
      <w:r w:rsidR="00CB4497" w:rsidRPr="001230E5">
        <w:rPr>
          <w:sz w:val="24"/>
          <w:lang w:val="en-US"/>
        </w:rPr>
        <w:t>increas</w:t>
      </w:r>
      <w:r w:rsidR="00CB0BDA">
        <w:rPr>
          <w:sz w:val="24"/>
          <w:lang w:val="en-US"/>
        </w:rPr>
        <w:t>ing number</w:t>
      </w:r>
      <w:r w:rsidRPr="001230E5">
        <w:rPr>
          <w:sz w:val="24"/>
          <w:lang w:val="en-US"/>
        </w:rPr>
        <w:t xml:space="preserve"> of pawnshops working in the shadow economy </w:t>
      </w:r>
      <w:r w:rsidR="00CB0BDA">
        <w:rPr>
          <w:sz w:val="24"/>
          <w:lang w:val="en-US"/>
        </w:rPr>
        <w:t>has been</w:t>
      </w:r>
      <w:r w:rsidRPr="001230E5">
        <w:rPr>
          <w:sz w:val="24"/>
          <w:lang w:val="en-US"/>
        </w:rPr>
        <w:t xml:space="preserve"> an important problem </w:t>
      </w:r>
      <w:r w:rsidR="009E27EE" w:rsidRPr="001230E5">
        <w:rPr>
          <w:sz w:val="24"/>
          <w:lang w:val="en-US"/>
        </w:rPr>
        <w:t xml:space="preserve">in Russia for several years. </w:t>
      </w:r>
      <w:r w:rsidR="007B1B2E">
        <w:rPr>
          <w:sz w:val="24"/>
          <w:lang w:val="en-US"/>
        </w:rPr>
        <w:t>The paper investigates t</w:t>
      </w:r>
      <w:r w:rsidRPr="001230E5">
        <w:rPr>
          <w:sz w:val="24"/>
          <w:lang w:val="en-US"/>
        </w:rPr>
        <w:t xml:space="preserve">he dynamics of the number of registered pawnshops, the reasons </w:t>
      </w:r>
      <w:r w:rsidR="009E27EE" w:rsidRPr="001230E5">
        <w:rPr>
          <w:sz w:val="24"/>
          <w:lang w:val="en-US"/>
        </w:rPr>
        <w:t>for the toughening of their AML/</w:t>
      </w:r>
      <w:r w:rsidRPr="001230E5">
        <w:rPr>
          <w:sz w:val="24"/>
          <w:lang w:val="en-US"/>
        </w:rPr>
        <w:t xml:space="preserve">CFT regulation and analyzes the further development of the industry. Based on the analyzed data, the forecast of the number of registered pawnshops up to 2020 is compiled using </w:t>
      </w:r>
      <w:r w:rsidR="007B1B2E">
        <w:rPr>
          <w:sz w:val="24"/>
          <w:lang w:val="en-US"/>
        </w:rPr>
        <w:t xml:space="preserve">the </w:t>
      </w:r>
      <w:r w:rsidRPr="001230E5">
        <w:rPr>
          <w:sz w:val="24"/>
          <w:lang w:val="en-US"/>
        </w:rPr>
        <w:t xml:space="preserve">consolidation of the moving average methods and </w:t>
      </w:r>
      <w:r w:rsidR="007B1B2E">
        <w:rPr>
          <w:sz w:val="24"/>
          <w:lang w:val="en-US"/>
        </w:rPr>
        <w:t xml:space="preserve">the </w:t>
      </w:r>
      <w:r w:rsidRPr="001230E5">
        <w:rPr>
          <w:sz w:val="24"/>
          <w:lang w:val="en-US"/>
        </w:rPr>
        <w:t>analytical trend alignment, as well a</w:t>
      </w:r>
      <w:r w:rsidR="00A607F9" w:rsidRPr="001230E5">
        <w:rPr>
          <w:sz w:val="24"/>
          <w:lang w:val="en-US"/>
        </w:rPr>
        <w:t xml:space="preserve">s the expert evaluation method. </w:t>
      </w:r>
      <w:r w:rsidRPr="001230E5">
        <w:rPr>
          <w:sz w:val="24"/>
          <w:lang w:val="en-US"/>
        </w:rPr>
        <w:t xml:space="preserve">The main methods of pawnshop activity regulation have been analyzed and </w:t>
      </w:r>
      <w:r w:rsidR="00B051AA">
        <w:rPr>
          <w:sz w:val="24"/>
          <w:lang w:val="en-US"/>
        </w:rPr>
        <w:t xml:space="preserve">an </w:t>
      </w:r>
      <w:r w:rsidRPr="001230E5">
        <w:rPr>
          <w:sz w:val="24"/>
          <w:lang w:val="en-US"/>
        </w:rPr>
        <w:t xml:space="preserve">expert evaluation of the effectiveness of their implementation has been carried out. The results obtained during the study allowed the authors to formulate </w:t>
      </w:r>
      <w:r w:rsidR="00B051AA">
        <w:rPr>
          <w:sz w:val="24"/>
          <w:lang w:val="en-US"/>
        </w:rPr>
        <w:t xml:space="preserve">a </w:t>
      </w:r>
      <w:r w:rsidRPr="001230E5">
        <w:rPr>
          <w:sz w:val="24"/>
          <w:lang w:val="en-US"/>
        </w:rPr>
        <w:t xml:space="preserve">hypotheses on increasing the effectiveness of the methods </w:t>
      </w:r>
      <w:r w:rsidR="00B051AA">
        <w:rPr>
          <w:sz w:val="24"/>
          <w:lang w:val="en-US"/>
        </w:rPr>
        <w:t>under consideration</w:t>
      </w:r>
      <w:r w:rsidRPr="001230E5">
        <w:rPr>
          <w:sz w:val="24"/>
          <w:lang w:val="en-US"/>
        </w:rPr>
        <w:t xml:space="preserve">, as well as to offer their methods for regulating the activity of pawnshops in the field of </w:t>
      </w:r>
      <w:r w:rsidR="00A607F9" w:rsidRPr="001230E5">
        <w:rPr>
          <w:sz w:val="24"/>
          <w:lang w:val="en-US"/>
        </w:rPr>
        <w:t>AML/</w:t>
      </w:r>
      <w:r w:rsidRPr="001230E5">
        <w:rPr>
          <w:sz w:val="24"/>
          <w:lang w:val="en-US"/>
        </w:rPr>
        <w:t>CFT.</w:t>
      </w:r>
    </w:p>
    <w:bookmarkEnd w:id="1"/>
    <w:p w14:paraId="701D2242" w14:textId="77777777" w:rsidR="008F32AC" w:rsidRPr="001230E5" w:rsidRDefault="008F32AC" w:rsidP="001230E5">
      <w:pPr>
        <w:spacing w:line="240" w:lineRule="auto"/>
        <w:ind w:left="426" w:firstLine="0"/>
        <w:rPr>
          <w:sz w:val="24"/>
          <w:lang w:val="en-US"/>
        </w:rPr>
      </w:pPr>
    </w:p>
    <w:p w14:paraId="142293DD" w14:textId="3C6106B4" w:rsidR="00BF4ED2" w:rsidRPr="001230E5" w:rsidRDefault="00244E76" w:rsidP="001230E5">
      <w:pPr>
        <w:spacing w:line="240" w:lineRule="auto"/>
        <w:ind w:left="426" w:firstLine="0"/>
        <w:rPr>
          <w:b/>
          <w:sz w:val="24"/>
          <w:lang w:val="en-US"/>
        </w:rPr>
      </w:pPr>
      <w:r>
        <w:rPr>
          <w:b/>
          <w:sz w:val="24"/>
          <w:lang w:val="en-US"/>
        </w:rPr>
        <w:t>Key</w:t>
      </w:r>
      <w:r w:rsidR="00C4513B" w:rsidRPr="001230E5">
        <w:rPr>
          <w:b/>
          <w:sz w:val="24"/>
          <w:lang w:val="en-US"/>
        </w:rPr>
        <w:t>words</w:t>
      </w:r>
      <w:r w:rsidR="001230E5" w:rsidRPr="001230E5">
        <w:rPr>
          <w:b/>
          <w:sz w:val="24"/>
          <w:lang w:val="en-US"/>
        </w:rPr>
        <w:t xml:space="preserve">: </w:t>
      </w:r>
      <w:r w:rsidR="00A607F9" w:rsidRPr="001230E5">
        <w:rPr>
          <w:sz w:val="24"/>
          <w:lang w:val="en-US"/>
        </w:rPr>
        <w:t>AML/</w:t>
      </w:r>
      <w:r w:rsidR="00C4513B" w:rsidRPr="001230E5">
        <w:rPr>
          <w:sz w:val="24"/>
          <w:lang w:val="en-US"/>
        </w:rPr>
        <w:t>CFT, "gray" pawnshops, non-credit financial organizations, high-risk activities, the Central Bank of the Russian Federation, internal control rules.</w:t>
      </w:r>
    </w:p>
    <w:p w14:paraId="638E04CE" w14:textId="77777777" w:rsidR="00C4513B" w:rsidRPr="00CB0BDA" w:rsidRDefault="00C4513B" w:rsidP="00FB53CE">
      <w:pPr>
        <w:spacing w:line="240" w:lineRule="auto"/>
        <w:rPr>
          <w:lang w:val="en-US"/>
        </w:rPr>
      </w:pPr>
    </w:p>
    <w:p w14:paraId="714AEA60" w14:textId="77777777" w:rsidR="00244E76" w:rsidRPr="00CB0BDA" w:rsidRDefault="00244E76" w:rsidP="00FB53CE">
      <w:pPr>
        <w:spacing w:line="240" w:lineRule="auto"/>
        <w:rPr>
          <w:lang w:val="en-US"/>
        </w:rPr>
      </w:pPr>
    </w:p>
    <w:p w14:paraId="2ED8990C" w14:textId="5480616F" w:rsidR="00FB53CE" w:rsidRPr="001230E5" w:rsidRDefault="00C96466" w:rsidP="00244E76">
      <w:pPr>
        <w:ind w:firstLine="0"/>
        <w:rPr>
          <w:b/>
          <w:lang w:val="en-US"/>
        </w:rPr>
      </w:pPr>
      <w:r>
        <w:rPr>
          <w:b/>
          <w:lang w:val="en-US"/>
        </w:rPr>
        <w:t xml:space="preserve"> </w:t>
      </w:r>
      <w:r w:rsidR="00C4513B" w:rsidRPr="001230E5">
        <w:rPr>
          <w:b/>
          <w:lang w:val="en-US"/>
        </w:rPr>
        <w:t>Introduction</w:t>
      </w:r>
    </w:p>
    <w:p w14:paraId="654F3385" w14:textId="6460C4F8" w:rsidR="00C4513B" w:rsidRPr="00C4513B" w:rsidRDefault="00C4513B" w:rsidP="00AF6621">
      <w:pPr>
        <w:ind w:firstLine="0"/>
        <w:rPr>
          <w:lang w:val="en-US"/>
        </w:rPr>
      </w:pPr>
      <w:r w:rsidRPr="00C4513B">
        <w:rPr>
          <w:lang w:val="en-US"/>
        </w:rPr>
        <w:t xml:space="preserve">The popularity of pawnshops among the population in Russia has significantly increased </w:t>
      </w:r>
      <w:r w:rsidR="00663788">
        <w:rPr>
          <w:lang w:val="en-US"/>
        </w:rPr>
        <w:t>since</w:t>
      </w:r>
      <w:r w:rsidRPr="00C4513B">
        <w:rPr>
          <w:lang w:val="en-US"/>
        </w:rPr>
        <w:t xml:space="preserve"> the currency crisis in 2014. This growth is due primarily to the lack of funds from citizens and the ease of obtaining microloans in pawnshops. The purpose of this article is to analyze the methods of regulating the activity o</w:t>
      </w:r>
      <w:r w:rsidR="000A4CEA">
        <w:rPr>
          <w:lang w:val="en-US"/>
        </w:rPr>
        <w:t>f pawnshops in the field of AML/</w:t>
      </w:r>
      <w:r w:rsidRPr="00C4513B">
        <w:rPr>
          <w:lang w:val="en-US"/>
        </w:rPr>
        <w:t>CFT by the Central Bank of the Russian Federation (</w:t>
      </w:r>
      <w:r w:rsidR="000A4CEA">
        <w:rPr>
          <w:lang w:val="en-US"/>
        </w:rPr>
        <w:t>further – CBR</w:t>
      </w:r>
      <w:r w:rsidRPr="00C4513B">
        <w:rPr>
          <w:lang w:val="en-US"/>
        </w:rPr>
        <w:t xml:space="preserve">), </w:t>
      </w:r>
      <w:r w:rsidR="00205388">
        <w:rPr>
          <w:lang w:val="en-US"/>
        </w:rPr>
        <w:t xml:space="preserve">as </w:t>
      </w:r>
      <w:r w:rsidRPr="00C4513B">
        <w:rPr>
          <w:lang w:val="en-US"/>
        </w:rPr>
        <w:t xml:space="preserve">it </w:t>
      </w:r>
      <w:r w:rsidR="00205388">
        <w:rPr>
          <w:lang w:val="en-US"/>
        </w:rPr>
        <w:t xml:space="preserve">has </w:t>
      </w:r>
      <w:r w:rsidR="00205388" w:rsidRPr="00C4513B">
        <w:rPr>
          <w:lang w:val="en-US"/>
        </w:rPr>
        <w:t>begun</w:t>
      </w:r>
      <w:r w:rsidRPr="00C4513B">
        <w:rPr>
          <w:lang w:val="en-US"/>
        </w:rPr>
        <w:t xml:space="preserve"> to regulate, control and supervise the activities of non-credit financial organizations </w:t>
      </w:r>
      <w:r w:rsidR="00205388">
        <w:rPr>
          <w:lang w:val="en-US"/>
        </w:rPr>
        <w:t xml:space="preserve">(further </w:t>
      </w:r>
      <w:r w:rsidRPr="00C4513B">
        <w:rPr>
          <w:lang w:val="en-US"/>
        </w:rPr>
        <w:t xml:space="preserve">- NFO) </w:t>
      </w:r>
      <w:r w:rsidR="00205388">
        <w:rPr>
          <w:lang w:val="en-US"/>
        </w:rPr>
        <w:t>since September 1, 2013</w:t>
      </w:r>
      <w:r w:rsidR="00205388" w:rsidRPr="00C4513B">
        <w:rPr>
          <w:lang w:val="en-US"/>
        </w:rPr>
        <w:t xml:space="preserve"> </w:t>
      </w:r>
      <w:r w:rsidRPr="00C4513B">
        <w:rPr>
          <w:lang w:val="en-US"/>
        </w:rPr>
        <w:t xml:space="preserve">in accordance with the Federal Law </w:t>
      </w:r>
      <w:r w:rsidR="00205388" w:rsidRPr="00205388">
        <w:rPr>
          <w:lang w:val="en-US"/>
        </w:rPr>
        <w:t>№</w:t>
      </w:r>
      <w:r w:rsidR="00205388">
        <w:rPr>
          <w:lang w:val="en-US"/>
        </w:rPr>
        <w:t xml:space="preserve"> 196-FL </w:t>
      </w:r>
      <w:r w:rsidR="00205388" w:rsidRPr="00205388">
        <w:rPr>
          <w:lang w:val="en-US"/>
        </w:rPr>
        <w:t>«</w:t>
      </w:r>
      <w:r w:rsidR="00205388">
        <w:rPr>
          <w:lang w:val="en-US"/>
        </w:rPr>
        <w:t>On pawnshops</w:t>
      </w:r>
      <w:r w:rsidR="00205388" w:rsidRPr="00205388">
        <w:rPr>
          <w:lang w:val="en-US"/>
        </w:rPr>
        <w:t>»</w:t>
      </w:r>
      <w:r w:rsidRPr="00C4513B">
        <w:rPr>
          <w:lang w:val="en-US"/>
        </w:rPr>
        <w:t xml:space="preserve"> of 19.07.2007 (</w:t>
      </w:r>
      <w:r w:rsidR="00AF6621" w:rsidRPr="009A5DAA">
        <w:rPr>
          <w:lang w:val="en-US"/>
        </w:rPr>
        <w:t xml:space="preserve">as amended on </w:t>
      </w:r>
      <w:r w:rsidRPr="00C4513B">
        <w:rPr>
          <w:lang w:val="en-US"/>
        </w:rPr>
        <w:t>13.07.2015) [1, p. 82].</w:t>
      </w:r>
    </w:p>
    <w:p w14:paraId="63D2C4B4" w14:textId="2EA2F45A" w:rsidR="0081661C" w:rsidRPr="00C4513B" w:rsidRDefault="00C4513B" w:rsidP="001230E5">
      <w:pPr>
        <w:ind w:firstLine="0"/>
        <w:rPr>
          <w:lang w:val="en-US"/>
        </w:rPr>
      </w:pPr>
      <w:r w:rsidRPr="00C4513B">
        <w:rPr>
          <w:lang w:val="en-US"/>
        </w:rPr>
        <w:t>Consider the dynamics of the number of registered pawnshops for 7.5 years and forecast the development of this industry until 2020.</w:t>
      </w:r>
    </w:p>
    <w:p w14:paraId="27D11A6A" w14:textId="68617FBE" w:rsidR="0081661C" w:rsidRDefault="005B2315" w:rsidP="0081661C">
      <w:pPr>
        <w:spacing w:line="240" w:lineRule="auto"/>
        <w:ind w:firstLine="0"/>
        <w:jc w:val="center"/>
      </w:pPr>
      <w:r>
        <w:rPr>
          <w:noProof/>
          <w:lang w:eastAsia="ru-RU"/>
        </w:rPr>
        <w:lastRenderedPageBreak/>
        <w:drawing>
          <wp:inline distT="0" distB="0" distL="0" distR="0" wp14:anchorId="7F6E8033" wp14:editId="09D2C8CE">
            <wp:extent cx="4876800" cy="2381693"/>
            <wp:effectExtent l="0" t="0" r="0" b="0"/>
            <wp:docPr id="1"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199D19F-A3FC-48DE-A470-84BFF02117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DF9B7C" w14:textId="00C7385D" w:rsidR="00C51308" w:rsidRPr="001230E5" w:rsidRDefault="001230E5" w:rsidP="00350F02">
      <w:pPr>
        <w:spacing w:after="120"/>
        <w:jc w:val="center"/>
        <w:rPr>
          <w:sz w:val="20"/>
          <w:szCs w:val="20"/>
          <w:lang w:val="en-US"/>
        </w:rPr>
      </w:pPr>
      <w:r w:rsidRPr="001230E5">
        <w:rPr>
          <w:sz w:val="20"/>
          <w:szCs w:val="20"/>
          <w:lang w:val="en-US"/>
        </w:rPr>
        <w:t xml:space="preserve">Figure 1 </w:t>
      </w:r>
      <w:r w:rsidRPr="001230E5">
        <w:rPr>
          <w:rFonts w:cs="Times New Roman"/>
          <w:sz w:val="20"/>
          <w:szCs w:val="20"/>
          <w:lang w:val="en-US"/>
        </w:rPr>
        <w:t xml:space="preserve">— </w:t>
      </w:r>
      <w:r w:rsidR="00C51308" w:rsidRPr="001230E5">
        <w:rPr>
          <w:sz w:val="20"/>
          <w:szCs w:val="20"/>
          <w:lang w:val="en-US"/>
        </w:rPr>
        <w:t xml:space="preserve">Dynamics of the number of registered pawnshops in the Russian Federation </w:t>
      </w:r>
      <w:r w:rsidR="00350F02">
        <w:rPr>
          <w:sz w:val="20"/>
          <w:szCs w:val="20"/>
          <w:lang w:val="en-US"/>
        </w:rPr>
        <w:t xml:space="preserve">in </w:t>
      </w:r>
      <w:r w:rsidR="00C51308" w:rsidRPr="001230E5">
        <w:rPr>
          <w:sz w:val="20"/>
          <w:szCs w:val="20"/>
          <w:lang w:val="en-US"/>
        </w:rPr>
        <w:t>2010-2020</w:t>
      </w:r>
    </w:p>
    <w:p w14:paraId="3DB8AD35" w14:textId="2C28FFC4" w:rsidR="0081661C" w:rsidRPr="001230E5" w:rsidRDefault="00C51308" w:rsidP="00244E76">
      <w:pPr>
        <w:spacing w:after="120"/>
        <w:jc w:val="center"/>
        <w:rPr>
          <w:sz w:val="20"/>
          <w:szCs w:val="20"/>
          <w:lang w:val="en-US"/>
        </w:rPr>
      </w:pPr>
      <w:r w:rsidRPr="001230E5">
        <w:rPr>
          <w:sz w:val="20"/>
          <w:szCs w:val="20"/>
          <w:lang w:val="en-US"/>
        </w:rPr>
        <w:t xml:space="preserve">Source: compiled by the author </w:t>
      </w:r>
      <w:r w:rsidR="0021332C" w:rsidRPr="001230E5">
        <w:rPr>
          <w:sz w:val="20"/>
          <w:szCs w:val="20"/>
          <w:lang w:val="en-US"/>
        </w:rPr>
        <w:t>based on</w:t>
      </w:r>
      <w:r w:rsidRPr="001230E5">
        <w:rPr>
          <w:sz w:val="20"/>
          <w:szCs w:val="20"/>
          <w:lang w:val="en-US"/>
        </w:rPr>
        <w:t xml:space="preserve"> data of the review of the state of financial accessibility in the Russian Federation for 2015-2016</w:t>
      </w:r>
      <w:r w:rsidR="0081661C" w:rsidRPr="001230E5">
        <w:rPr>
          <w:sz w:val="20"/>
          <w:szCs w:val="20"/>
          <w:lang w:val="en-US"/>
        </w:rPr>
        <w:t>. URL: http://www.cbr.ru/finmarket/development/development_affor</w:t>
      </w:r>
    </w:p>
    <w:p w14:paraId="6225FFEE" w14:textId="47F9B8B9" w:rsidR="00100E21" w:rsidRPr="00C51308" w:rsidRDefault="00583F95" w:rsidP="00350F02">
      <w:pPr>
        <w:ind w:firstLine="0"/>
        <w:rPr>
          <w:lang w:val="en-US"/>
        </w:rPr>
      </w:pPr>
      <w:r>
        <w:rPr>
          <w:lang w:val="en-US"/>
        </w:rPr>
        <w:t>Fig</w:t>
      </w:r>
      <w:r w:rsidR="00350F02">
        <w:rPr>
          <w:lang w:val="en-US"/>
        </w:rPr>
        <w:t>ure</w:t>
      </w:r>
      <w:r w:rsidR="00C51308" w:rsidRPr="00C51308">
        <w:rPr>
          <w:lang w:val="en-US"/>
        </w:rPr>
        <w:t xml:space="preserve"> 1 </w:t>
      </w:r>
      <w:r w:rsidR="00350F02">
        <w:rPr>
          <w:lang w:val="en-US"/>
        </w:rPr>
        <w:t xml:space="preserve">illustrates the constant growth in </w:t>
      </w:r>
      <w:r w:rsidR="00350F02" w:rsidRPr="00C51308">
        <w:rPr>
          <w:lang w:val="en-US"/>
        </w:rPr>
        <w:t xml:space="preserve">the number of registered pawnshops </w:t>
      </w:r>
      <w:r w:rsidR="00C51308" w:rsidRPr="00C51308">
        <w:rPr>
          <w:lang w:val="en-US"/>
        </w:rPr>
        <w:t>inclusively up to 2015: in 2015</w:t>
      </w:r>
      <w:r w:rsidR="00350F02">
        <w:rPr>
          <w:lang w:val="en-US"/>
        </w:rPr>
        <w:t>,</w:t>
      </w:r>
      <w:r w:rsidR="00C51308" w:rsidRPr="00C51308">
        <w:rPr>
          <w:lang w:val="en-US"/>
        </w:rPr>
        <w:t xml:space="preserve"> this amount increased by 50.3% </w:t>
      </w:r>
      <w:r w:rsidR="00350F02">
        <w:rPr>
          <w:lang w:val="en-US"/>
        </w:rPr>
        <w:t xml:space="preserve">as </w:t>
      </w:r>
      <w:r w:rsidR="00C51308" w:rsidRPr="00C51308">
        <w:rPr>
          <w:lang w:val="en-US"/>
        </w:rPr>
        <w:t xml:space="preserve">compared to 2010. But </w:t>
      </w:r>
      <w:r w:rsidR="00350F02">
        <w:rPr>
          <w:lang w:val="en-US"/>
        </w:rPr>
        <w:t>in</w:t>
      </w:r>
      <w:r w:rsidR="00C51308" w:rsidRPr="00C51308">
        <w:rPr>
          <w:lang w:val="en-US"/>
        </w:rPr>
        <w:t xml:space="preserve"> 2014, the CBR began to pursue an active p</w:t>
      </w:r>
      <w:r w:rsidR="009C4CD7">
        <w:rPr>
          <w:lang w:val="en-US"/>
        </w:rPr>
        <w:t xml:space="preserve">olicy to reduce high-risk and </w:t>
      </w:r>
      <w:r w:rsidR="009C4CD7" w:rsidRPr="009C4CD7">
        <w:rPr>
          <w:lang w:val="en-US"/>
        </w:rPr>
        <w:t>«</w:t>
      </w:r>
      <w:r w:rsidR="009C4CD7">
        <w:rPr>
          <w:lang w:val="en-US"/>
        </w:rPr>
        <w:t>gray</w:t>
      </w:r>
      <w:r w:rsidR="009C4CD7" w:rsidRPr="009C4CD7">
        <w:rPr>
          <w:lang w:val="en-US"/>
        </w:rPr>
        <w:t>»</w:t>
      </w:r>
      <w:r w:rsidR="00C51308" w:rsidRPr="00C51308">
        <w:rPr>
          <w:lang w:val="en-US"/>
        </w:rPr>
        <w:t xml:space="preserve"> pawnshops, so the number of organizations in this industry has declined sharply: in the second quarter of 2017, the number of pawnshops fell by 16.7% </w:t>
      </w:r>
      <w:r w:rsidR="00350F02">
        <w:rPr>
          <w:lang w:val="en-US"/>
        </w:rPr>
        <w:t xml:space="preserve">as </w:t>
      </w:r>
      <w:r w:rsidR="00C51308" w:rsidRPr="00C51308">
        <w:rPr>
          <w:lang w:val="en-US"/>
        </w:rPr>
        <w:t>compared to 2015. Moreover, the CBR has seriously tightened the requirements for regulating pawnsho</w:t>
      </w:r>
      <w:r w:rsidR="009C4CD7">
        <w:rPr>
          <w:lang w:val="en-US"/>
        </w:rPr>
        <w:t xml:space="preserve">ps: regular reporting, providing </w:t>
      </w:r>
      <w:r w:rsidR="00C51308" w:rsidRPr="00C51308">
        <w:rPr>
          <w:lang w:val="en-US"/>
        </w:rPr>
        <w:t>the necessar</w:t>
      </w:r>
      <w:r w:rsidR="009C4CD7">
        <w:rPr>
          <w:lang w:val="en-US"/>
        </w:rPr>
        <w:t>y documents in the field of AML/</w:t>
      </w:r>
      <w:r w:rsidR="00C51308" w:rsidRPr="00C51308">
        <w:rPr>
          <w:lang w:val="en-US"/>
        </w:rPr>
        <w:t>CFT, fil</w:t>
      </w:r>
      <w:r w:rsidR="009C4CD7">
        <w:rPr>
          <w:lang w:val="en-US"/>
        </w:rPr>
        <w:t>ling in detailed questionnaires</w:t>
      </w:r>
      <w:r w:rsidR="00C51308" w:rsidRPr="00C51308">
        <w:rPr>
          <w:lang w:val="en-US"/>
        </w:rPr>
        <w:t>, prepar</w:t>
      </w:r>
      <w:r w:rsidR="00350F02">
        <w:rPr>
          <w:lang w:val="en-US"/>
        </w:rPr>
        <w:t>ing</w:t>
      </w:r>
      <w:r w:rsidR="00C51308" w:rsidRPr="00C51308">
        <w:rPr>
          <w:lang w:val="en-US"/>
        </w:rPr>
        <w:t xml:space="preserve"> </w:t>
      </w:r>
      <w:r w:rsidR="009C4CD7">
        <w:rPr>
          <w:lang w:val="en-US"/>
        </w:rPr>
        <w:t>report</w:t>
      </w:r>
      <w:r w:rsidR="00E515C4">
        <w:rPr>
          <w:lang w:val="en-US"/>
        </w:rPr>
        <w:t>s</w:t>
      </w:r>
      <w:r w:rsidR="00350F02">
        <w:rPr>
          <w:lang w:val="en-US"/>
        </w:rPr>
        <w:t xml:space="preserve"> on</w:t>
      </w:r>
      <w:r w:rsidR="00350F02" w:rsidRPr="00350F02">
        <w:rPr>
          <w:lang w:val="en-US"/>
        </w:rPr>
        <w:t xml:space="preserve"> </w:t>
      </w:r>
      <w:r w:rsidR="00350F02" w:rsidRPr="00C51308">
        <w:rPr>
          <w:lang w:val="en-US"/>
        </w:rPr>
        <w:t>cash flow</w:t>
      </w:r>
      <w:r w:rsidR="00350F02">
        <w:rPr>
          <w:lang w:val="en-US"/>
        </w:rPr>
        <w:t>s, etc.</w:t>
      </w:r>
    </w:p>
    <w:p w14:paraId="74F54C7E" w14:textId="754F34FD" w:rsidR="00100E21" w:rsidRPr="00C51308" w:rsidRDefault="00C51308" w:rsidP="00A51B99">
      <w:pPr>
        <w:ind w:firstLine="0"/>
        <w:rPr>
          <w:lang w:val="en-US"/>
        </w:rPr>
      </w:pPr>
      <w:r w:rsidRPr="00C51308">
        <w:rPr>
          <w:lang w:val="en-US"/>
        </w:rPr>
        <w:t xml:space="preserve">In 2015, the CBR filed about 580 claims against pawnshops, </w:t>
      </w:r>
      <w:r w:rsidR="00A51B99">
        <w:rPr>
          <w:lang w:val="en-US"/>
        </w:rPr>
        <w:t xml:space="preserve">out </w:t>
      </w:r>
      <w:r w:rsidRPr="00C51308">
        <w:rPr>
          <w:lang w:val="en-US"/>
        </w:rPr>
        <w:t xml:space="preserve">of which 432 </w:t>
      </w:r>
      <w:r w:rsidR="00A51B99">
        <w:rPr>
          <w:lang w:val="en-US"/>
        </w:rPr>
        <w:t>we</w:t>
      </w:r>
      <w:r w:rsidRPr="00C51308">
        <w:rPr>
          <w:lang w:val="en-US"/>
        </w:rPr>
        <w:t xml:space="preserve">re related to the liquidation of organizations. Despite such rapid cleaning already in 2016, this ratio was reduced almost twofold: more than 220 lawsuits were filed, </w:t>
      </w:r>
      <w:r w:rsidR="00A51B99">
        <w:rPr>
          <w:lang w:val="en-US"/>
        </w:rPr>
        <w:t xml:space="preserve">out </w:t>
      </w:r>
      <w:r w:rsidRPr="00C51308">
        <w:rPr>
          <w:lang w:val="en-US"/>
        </w:rPr>
        <w:t>of which 93 were aimed at the liquidation of organizations</w:t>
      </w:r>
      <w:r w:rsidR="00100E21" w:rsidRPr="00C51308">
        <w:rPr>
          <w:lang w:val="en-US"/>
        </w:rPr>
        <w:t xml:space="preserve"> [2]. </w:t>
      </w:r>
    </w:p>
    <w:p w14:paraId="699B5154" w14:textId="41F2CBDD" w:rsidR="0081661C" w:rsidRPr="00C51308" w:rsidRDefault="00C51308" w:rsidP="0076306E">
      <w:pPr>
        <w:ind w:firstLine="0"/>
        <w:rPr>
          <w:lang w:val="en-US"/>
        </w:rPr>
      </w:pPr>
      <w:r w:rsidRPr="00C51308">
        <w:rPr>
          <w:lang w:val="en-US"/>
        </w:rPr>
        <w:t xml:space="preserve">Also, the authors predicted a scenario for the further development of the </w:t>
      </w:r>
      <w:r w:rsidR="003C1F41">
        <w:rPr>
          <w:lang w:val="en-US"/>
        </w:rPr>
        <w:t xml:space="preserve">industry </w:t>
      </w:r>
      <w:r w:rsidRPr="00C51308">
        <w:rPr>
          <w:lang w:val="en-US"/>
        </w:rPr>
        <w:t xml:space="preserve">by 2020, using </w:t>
      </w:r>
      <w:r w:rsidR="00A51B99">
        <w:rPr>
          <w:lang w:val="en-US"/>
        </w:rPr>
        <w:t xml:space="preserve">the </w:t>
      </w:r>
      <w:r w:rsidR="0076306E" w:rsidRPr="00C51308">
        <w:rPr>
          <w:lang w:val="en-US"/>
        </w:rPr>
        <w:t>moving</w:t>
      </w:r>
      <w:r w:rsidR="0076306E">
        <w:rPr>
          <w:lang w:val="en-US"/>
        </w:rPr>
        <w:t>-</w:t>
      </w:r>
      <w:r w:rsidR="0076306E" w:rsidRPr="00C51308">
        <w:rPr>
          <w:lang w:val="en-US"/>
        </w:rPr>
        <w:t xml:space="preserve">average </w:t>
      </w:r>
      <w:r w:rsidRPr="00C51308">
        <w:rPr>
          <w:lang w:val="en-US"/>
        </w:rPr>
        <w:t xml:space="preserve">method and </w:t>
      </w:r>
      <w:r w:rsidR="0076306E">
        <w:rPr>
          <w:lang w:val="en-US"/>
        </w:rPr>
        <w:t xml:space="preserve">the </w:t>
      </w:r>
      <w:r w:rsidRPr="00C51308">
        <w:rPr>
          <w:lang w:val="en-US"/>
        </w:rPr>
        <w:t xml:space="preserve">analytical trend alignment. </w:t>
      </w:r>
      <w:r w:rsidR="0076306E">
        <w:rPr>
          <w:lang w:val="en-US"/>
        </w:rPr>
        <w:t>T</w:t>
      </w:r>
      <w:r w:rsidRPr="00C51308">
        <w:rPr>
          <w:lang w:val="en-US"/>
        </w:rPr>
        <w:t xml:space="preserve">he analysis </w:t>
      </w:r>
      <w:r w:rsidR="0076306E">
        <w:rPr>
          <w:lang w:val="en-US"/>
        </w:rPr>
        <w:t>revealed</w:t>
      </w:r>
      <w:r w:rsidRPr="00C51308">
        <w:rPr>
          <w:lang w:val="en-US"/>
        </w:rPr>
        <w:t xml:space="preserve"> that the number of registered pawnshops would grow despite the tightening of control by the Central Bank. If the mathematical methods of forecasting are consolidated with an expert method, then we can get a more accurate forecast, oriented to the current situation in the industry.</w:t>
      </w:r>
    </w:p>
    <w:p w14:paraId="6F641247" w14:textId="5F444622" w:rsidR="0081661C" w:rsidRPr="00F16477" w:rsidRDefault="00C51308" w:rsidP="00212DA4">
      <w:pPr>
        <w:ind w:firstLine="0"/>
        <w:rPr>
          <w:lang w:val="en-US"/>
        </w:rPr>
      </w:pPr>
      <w:r w:rsidRPr="00C51308">
        <w:rPr>
          <w:lang w:val="en-US"/>
        </w:rPr>
        <w:lastRenderedPageBreak/>
        <w:t xml:space="preserve">That is why, the forecast was focused on the expert assessment, which also speaks about the further development of pawnshops, but </w:t>
      </w:r>
      <w:r w:rsidR="00212DA4">
        <w:rPr>
          <w:lang w:val="en-US"/>
        </w:rPr>
        <w:t xml:space="preserve">at a </w:t>
      </w:r>
      <w:r w:rsidRPr="00C51308">
        <w:rPr>
          <w:lang w:val="en-US"/>
        </w:rPr>
        <w:t xml:space="preserve">more </w:t>
      </w:r>
      <w:r w:rsidR="00212DA4">
        <w:rPr>
          <w:lang w:val="en-US"/>
        </w:rPr>
        <w:t>steady pace</w:t>
      </w:r>
      <w:r w:rsidRPr="00C51308">
        <w:rPr>
          <w:lang w:val="en-US"/>
        </w:rPr>
        <w:t xml:space="preserve">. </w:t>
      </w:r>
      <w:r w:rsidR="00F16477">
        <w:rPr>
          <w:lang w:val="en-US"/>
        </w:rPr>
        <w:t>Relating to</w:t>
      </w:r>
      <w:r w:rsidR="005A2487" w:rsidRPr="005A2487">
        <w:rPr>
          <w:lang w:val="en-US"/>
        </w:rPr>
        <w:t xml:space="preserve"> this</w:t>
      </w:r>
      <w:r w:rsidRPr="00C51308">
        <w:rPr>
          <w:lang w:val="en-US"/>
        </w:rPr>
        <w:t xml:space="preserve">, it was decided to reduce the obtained data using mathematical forecast methods by 15%. This conclusion is based on the analysis of the completion of the </w:t>
      </w:r>
      <w:r w:rsidR="00212DA4" w:rsidRPr="00C51308">
        <w:rPr>
          <w:lang w:val="en-US"/>
        </w:rPr>
        <w:t>CB</w:t>
      </w:r>
      <w:r w:rsidR="00212DA4">
        <w:rPr>
          <w:lang w:val="en-US"/>
        </w:rPr>
        <w:t>R</w:t>
      </w:r>
      <w:r w:rsidR="00212DA4" w:rsidRPr="00C51308">
        <w:rPr>
          <w:lang w:val="en-US"/>
        </w:rPr>
        <w:t xml:space="preserve"> </w:t>
      </w:r>
      <w:r w:rsidRPr="00C51308">
        <w:rPr>
          <w:lang w:val="en-US"/>
        </w:rPr>
        <w:t xml:space="preserve">policy </w:t>
      </w:r>
      <w:r w:rsidR="00F16477">
        <w:rPr>
          <w:lang w:val="en-US"/>
        </w:rPr>
        <w:t xml:space="preserve">aimed at reducing the </w:t>
      </w:r>
      <w:r w:rsidR="00F16477" w:rsidRPr="00F16477">
        <w:rPr>
          <w:lang w:val="en-US"/>
        </w:rPr>
        <w:t>«</w:t>
      </w:r>
      <w:r w:rsidR="00F16477">
        <w:rPr>
          <w:lang w:val="en-US"/>
        </w:rPr>
        <w:t>gray</w:t>
      </w:r>
      <w:r w:rsidR="00F16477" w:rsidRPr="00F16477">
        <w:rPr>
          <w:lang w:val="en-US"/>
        </w:rPr>
        <w:t>»</w:t>
      </w:r>
      <w:r w:rsidRPr="00C51308">
        <w:rPr>
          <w:lang w:val="en-US"/>
        </w:rPr>
        <w:t xml:space="preserve"> pawnshops, as well as mitigating the supervision of small pawnshops (now they include companies with a turnover of up to 7.5 million rubles per quarter). As a document </w:t>
      </w:r>
      <w:r w:rsidR="00212DA4">
        <w:rPr>
          <w:lang w:val="en-US"/>
        </w:rPr>
        <w:t>stipu</w:t>
      </w:r>
      <w:r w:rsidRPr="00C51308">
        <w:rPr>
          <w:lang w:val="en-US"/>
        </w:rPr>
        <w:t xml:space="preserve">lating the conditions for regulating </w:t>
      </w:r>
      <w:r w:rsidR="00212DA4">
        <w:rPr>
          <w:lang w:val="en-US"/>
        </w:rPr>
        <w:t>the operation of</w:t>
      </w:r>
      <w:r w:rsidR="00212DA4" w:rsidRPr="00212DA4">
        <w:rPr>
          <w:lang w:val="en-US"/>
        </w:rPr>
        <w:t xml:space="preserve"> </w:t>
      </w:r>
      <w:r w:rsidR="00212DA4" w:rsidRPr="00C51308">
        <w:rPr>
          <w:lang w:val="en-US"/>
        </w:rPr>
        <w:t>pawnshop</w:t>
      </w:r>
      <w:r w:rsidRPr="00C51308">
        <w:rPr>
          <w:lang w:val="en-US"/>
        </w:rPr>
        <w:t xml:space="preserve">, the Central Bank and the largest pawnshop associations prepared a roadmap for the development of the pawnshop market until 2020, which </w:t>
      </w:r>
      <w:r w:rsidR="00F16477">
        <w:rPr>
          <w:lang w:val="en-US"/>
        </w:rPr>
        <w:t>is being implemented since 2017</w:t>
      </w:r>
      <w:r>
        <w:rPr>
          <w:lang w:val="en-US"/>
        </w:rPr>
        <w:t xml:space="preserve"> </w:t>
      </w:r>
      <w:r w:rsidR="0081661C" w:rsidRPr="00F16477">
        <w:rPr>
          <w:lang w:val="en-US"/>
        </w:rPr>
        <w:t>[</w:t>
      </w:r>
      <w:r w:rsidR="00100E21" w:rsidRPr="00F16477">
        <w:rPr>
          <w:lang w:val="en-US"/>
        </w:rPr>
        <w:t xml:space="preserve">3]. </w:t>
      </w:r>
    </w:p>
    <w:p w14:paraId="205A395F" w14:textId="4B5D22DF" w:rsidR="002A66CD" w:rsidRPr="00720B1C" w:rsidRDefault="00212DA4" w:rsidP="00607B70">
      <w:pPr>
        <w:ind w:firstLine="0"/>
        <w:rPr>
          <w:lang w:val="en-US"/>
        </w:rPr>
      </w:pPr>
      <w:r>
        <w:rPr>
          <w:lang w:val="en-US"/>
        </w:rPr>
        <w:t xml:space="preserve">The </w:t>
      </w:r>
      <w:r w:rsidR="00720B1C" w:rsidRPr="00720B1C">
        <w:rPr>
          <w:lang w:val="en-US"/>
        </w:rPr>
        <w:t xml:space="preserve">sharp tightening </w:t>
      </w:r>
      <w:r>
        <w:rPr>
          <w:lang w:val="en-US"/>
        </w:rPr>
        <w:t>i</w:t>
      </w:r>
      <w:r w:rsidRPr="00720B1C">
        <w:rPr>
          <w:lang w:val="en-US"/>
        </w:rPr>
        <w:t xml:space="preserve">ntroduced </w:t>
      </w:r>
      <w:r w:rsidR="00720B1C" w:rsidRPr="00720B1C">
        <w:rPr>
          <w:lang w:val="en-US"/>
        </w:rPr>
        <w:t>in the regulation of pawnshop operations led to the fact t</w:t>
      </w:r>
      <w:r w:rsidR="00F16477">
        <w:rPr>
          <w:lang w:val="en-US"/>
        </w:rPr>
        <w:t>hat since the beginning of 2017</w:t>
      </w:r>
      <w:r>
        <w:rPr>
          <w:lang w:val="en-US"/>
        </w:rPr>
        <w:t>,</w:t>
      </w:r>
      <w:r w:rsidR="00720B1C" w:rsidRPr="00720B1C">
        <w:rPr>
          <w:lang w:val="en-US"/>
        </w:rPr>
        <w:t xml:space="preserve"> 700 pawnshops have left the Russian market, </w:t>
      </w:r>
      <w:r>
        <w:rPr>
          <w:lang w:val="en-US"/>
        </w:rPr>
        <w:t>and specifically into the shadows</w:t>
      </w:r>
      <w:r w:rsidR="00720B1C" w:rsidRPr="00720B1C">
        <w:rPr>
          <w:lang w:val="en-US"/>
        </w:rPr>
        <w:t xml:space="preserve">. </w:t>
      </w:r>
      <w:r w:rsidR="00F16477">
        <w:rPr>
          <w:lang w:val="en-US"/>
        </w:rPr>
        <w:t>Nowadays</w:t>
      </w:r>
      <w:r w:rsidR="00720B1C" w:rsidRPr="00720B1C">
        <w:rPr>
          <w:lang w:val="en-US"/>
        </w:rPr>
        <w:t xml:space="preserve">, about 30% of all pawnshops </w:t>
      </w:r>
      <w:r w:rsidR="00607B70">
        <w:rPr>
          <w:lang w:val="en-US"/>
        </w:rPr>
        <w:t xml:space="preserve">are </w:t>
      </w:r>
      <w:r w:rsidR="00720B1C" w:rsidRPr="00720B1C">
        <w:rPr>
          <w:lang w:val="en-US"/>
        </w:rPr>
        <w:t>work</w:t>
      </w:r>
      <w:r w:rsidR="00607B70">
        <w:rPr>
          <w:lang w:val="en-US"/>
        </w:rPr>
        <w:t>ing</w:t>
      </w:r>
      <w:r w:rsidR="00720B1C" w:rsidRPr="00720B1C">
        <w:rPr>
          <w:lang w:val="en-US"/>
        </w:rPr>
        <w:t xml:space="preserve"> in the shade, or </w:t>
      </w:r>
      <w:r w:rsidR="00607B70">
        <w:rPr>
          <w:lang w:val="en-US"/>
        </w:rPr>
        <w:t>are transiting to</w:t>
      </w:r>
      <w:r w:rsidR="00720B1C" w:rsidRPr="00720B1C">
        <w:rPr>
          <w:lang w:val="en-US"/>
        </w:rPr>
        <w:t xml:space="preserve"> commission stores, as it becomes unprofitable for owners to work on new </w:t>
      </w:r>
      <w:r w:rsidR="00607B70">
        <w:rPr>
          <w:lang w:val="en-US"/>
        </w:rPr>
        <w:t>terms</w:t>
      </w:r>
      <w:r w:rsidR="00720B1C" w:rsidRPr="00720B1C">
        <w:rPr>
          <w:lang w:val="en-US"/>
        </w:rPr>
        <w:t xml:space="preserve"> [4]. First</w:t>
      </w:r>
      <w:r w:rsidR="00F16477">
        <w:rPr>
          <w:lang w:val="en-US"/>
        </w:rPr>
        <w:t xml:space="preserve">ly, consumers suffer from </w:t>
      </w:r>
      <w:r w:rsidR="00F16477" w:rsidRPr="00F16477">
        <w:rPr>
          <w:lang w:val="en-US"/>
        </w:rPr>
        <w:t>«</w:t>
      </w:r>
      <w:r w:rsidR="00F16477">
        <w:rPr>
          <w:lang w:val="en-US"/>
        </w:rPr>
        <w:t>gray</w:t>
      </w:r>
      <w:r w:rsidR="00F16477" w:rsidRPr="00F16477">
        <w:rPr>
          <w:lang w:val="en-US"/>
        </w:rPr>
        <w:t>»</w:t>
      </w:r>
      <w:r w:rsidR="00720B1C" w:rsidRPr="00720B1C">
        <w:rPr>
          <w:lang w:val="en-US"/>
        </w:rPr>
        <w:t xml:space="preserve"> pawnshops, as commission shops alm</w:t>
      </w:r>
      <w:r w:rsidR="00F16477">
        <w:rPr>
          <w:lang w:val="en-US"/>
        </w:rPr>
        <w:t>ost do not have any obligations</w:t>
      </w:r>
      <w:r w:rsidR="00F16477" w:rsidRPr="00F16477">
        <w:rPr>
          <w:lang w:val="en-US"/>
        </w:rPr>
        <w:t>,</w:t>
      </w:r>
      <w:r w:rsidR="00720B1C" w:rsidRPr="00720B1C">
        <w:rPr>
          <w:lang w:val="en-US"/>
        </w:rPr>
        <w:t xml:space="preserve"> and organizations working in the shadows do not give any documentary evidence of transactions</w:t>
      </w:r>
      <w:r w:rsidR="00607B70">
        <w:rPr>
          <w:lang w:val="en-US"/>
        </w:rPr>
        <w:t xml:space="preserve"> performed</w:t>
      </w:r>
      <w:r w:rsidR="00720B1C" w:rsidRPr="00720B1C">
        <w:rPr>
          <w:lang w:val="en-US"/>
        </w:rPr>
        <w:t xml:space="preserve">, </w:t>
      </w:r>
      <w:r w:rsidR="00F16477">
        <w:rPr>
          <w:lang w:val="en-US"/>
        </w:rPr>
        <w:t xml:space="preserve">so </w:t>
      </w:r>
      <w:r w:rsidR="00607B70">
        <w:rPr>
          <w:lang w:val="en-US"/>
        </w:rPr>
        <w:t xml:space="preserve">in most cases </w:t>
      </w:r>
      <w:r w:rsidR="00F16477">
        <w:rPr>
          <w:lang w:val="en-US"/>
        </w:rPr>
        <w:t>the client can</w:t>
      </w:r>
      <w:r w:rsidR="00720B1C" w:rsidRPr="00720B1C">
        <w:rPr>
          <w:lang w:val="en-US"/>
        </w:rPr>
        <w:t>not return the pledged property</w:t>
      </w:r>
      <w:r w:rsidR="00E800C6" w:rsidRPr="00720B1C">
        <w:rPr>
          <w:lang w:val="en-US"/>
        </w:rPr>
        <w:t>.</w:t>
      </w:r>
    </w:p>
    <w:p w14:paraId="19C8C57F" w14:textId="79DBBED7" w:rsidR="005A3132" w:rsidRPr="00720B1C" w:rsidRDefault="00720B1C" w:rsidP="00607B70">
      <w:pPr>
        <w:ind w:firstLine="0"/>
        <w:rPr>
          <w:lang w:val="en-US"/>
        </w:rPr>
      </w:pPr>
      <w:r w:rsidRPr="00720B1C">
        <w:rPr>
          <w:lang w:val="en-US"/>
        </w:rPr>
        <w:t>The mai</w:t>
      </w:r>
      <w:r w:rsidR="00FF5D14">
        <w:rPr>
          <w:lang w:val="en-US"/>
        </w:rPr>
        <w:t xml:space="preserve">n goal of the existence of the </w:t>
      </w:r>
      <w:r w:rsidR="00FF5D14" w:rsidRPr="00FF5D14">
        <w:rPr>
          <w:lang w:val="en-US"/>
        </w:rPr>
        <w:t>«</w:t>
      </w:r>
      <w:r w:rsidR="00FF5D14">
        <w:rPr>
          <w:lang w:val="en-US"/>
        </w:rPr>
        <w:t>gray</w:t>
      </w:r>
      <w:r w:rsidR="00FF5D14" w:rsidRPr="00FF5D14">
        <w:rPr>
          <w:lang w:val="en-US"/>
        </w:rPr>
        <w:t>»</w:t>
      </w:r>
      <w:r w:rsidRPr="00720B1C">
        <w:rPr>
          <w:lang w:val="en-US"/>
        </w:rPr>
        <w:t xml:space="preserve"> pawnshops is to get the most profit from </w:t>
      </w:r>
      <w:r w:rsidR="00607B70">
        <w:rPr>
          <w:lang w:val="en-US"/>
        </w:rPr>
        <w:t xml:space="preserve">performing </w:t>
      </w:r>
      <w:r w:rsidRPr="00720B1C">
        <w:rPr>
          <w:lang w:val="en-US"/>
        </w:rPr>
        <w:t xml:space="preserve">illegal operations or buying up stolen goods. One of the types of such illegal transactions is the legalization (laundering) of cash, or cashing </w:t>
      </w:r>
      <w:r w:rsidR="00FF5D14">
        <w:rPr>
          <w:lang w:val="en-US"/>
        </w:rPr>
        <w:t xml:space="preserve">for a commission </w:t>
      </w:r>
      <w:r w:rsidR="00607B70">
        <w:rPr>
          <w:lang w:val="en-US"/>
        </w:rPr>
        <w:t>of</w:t>
      </w:r>
      <w:r w:rsidR="00FF5D14">
        <w:rPr>
          <w:lang w:val="en-US"/>
        </w:rPr>
        <w:t xml:space="preserve"> 12-15%. But</w:t>
      </w:r>
      <w:r w:rsidRPr="00720B1C">
        <w:rPr>
          <w:lang w:val="en-US"/>
        </w:rPr>
        <w:t xml:space="preserve"> today there are schemes for cashing out money from which pawnshops suffer</w:t>
      </w:r>
      <w:r w:rsidR="00607B70" w:rsidRPr="00607B70">
        <w:rPr>
          <w:lang w:val="en-US"/>
        </w:rPr>
        <w:t xml:space="preserve"> </w:t>
      </w:r>
      <w:r w:rsidR="00607B70" w:rsidRPr="00720B1C">
        <w:rPr>
          <w:lang w:val="en-US"/>
        </w:rPr>
        <w:t>themselves</w:t>
      </w:r>
      <w:r w:rsidRPr="00720B1C">
        <w:rPr>
          <w:lang w:val="en-US"/>
        </w:rPr>
        <w:t xml:space="preserve">, </w:t>
      </w:r>
      <w:r w:rsidR="00607B70">
        <w:rPr>
          <w:lang w:val="en-US"/>
        </w:rPr>
        <w:t>without</w:t>
      </w:r>
      <w:r w:rsidRPr="00720B1C">
        <w:rPr>
          <w:lang w:val="en-US"/>
        </w:rPr>
        <w:t xml:space="preserve"> </w:t>
      </w:r>
      <w:r w:rsidR="00607B70">
        <w:rPr>
          <w:lang w:val="en-US"/>
        </w:rPr>
        <w:t>being aware of</w:t>
      </w:r>
      <w:r w:rsidRPr="00720B1C">
        <w:rPr>
          <w:lang w:val="en-US"/>
        </w:rPr>
        <w:t xml:space="preserve"> their own involvement in criminal activities</w:t>
      </w:r>
      <w:r w:rsidR="005A3132" w:rsidRPr="00720B1C">
        <w:rPr>
          <w:lang w:val="en-US"/>
        </w:rPr>
        <w:t>.</w:t>
      </w:r>
    </w:p>
    <w:p w14:paraId="4390983E" w14:textId="2F614991" w:rsidR="00D40289" w:rsidRPr="00720B1C" w:rsidRDefault="00720B1C" w:rsidP="00607B70">
      <w:pPr>
        <w:ind w:firstLine="0"/>
        <w:rPr>
          <w:lang w:val="en-US"/>
        </w:rPr>
      </w:pPr>
      <w:r w:rsidRPr="00720B1C">
        <w:rPr>
          <w:lang w:val="en-US"/>
        </w:rPr>
        <w:t>Consider one of the ways of modern cashing money, which was discovered in 2016. A person can hand over any valuable thing</w:t>
      </w:r>
      <w:r w:rsidR="00607B70" w:rsidRPr="00607B70">
        <w:rPr>
          <w:lang w:val="en-US"/>
        </w:rPr>
        <w:t xml:space="preserve"> </w:t>
      </w:r>
      <w:r w:rsidR="00607B70" w:rsidRPr="00720B1C">
        <w:rPr>
          <w:lang w:val="en-US"/>
        </w:rPr>
        <w:t>to a pawnshop</w:t>
      </w:r>
      <w:r w:rsidRPr="00720B1C">
        <w:rPr>
          <w:lang w:val="en-US"/>
        </w:rPr>
        <w:t xml:space="preserve">, and then return within a short time (less than 1 day) and buy the pledged property </w:t>
      </w:r>
      <w:r w:rsidR="00607B70" w:rsidRPr="00720B1C">
        <w:rPr>
          <w:lang w:val="en-US"/>
        </w:rPr>
        <w:t xml:space="preserve">back </w:t>
      </w:r>
      <w:r w:rsidRPr="00720B1C">
        <w:rPr>
          <w:lang w:val="en-US"/>
        </w:rPr>
        <w:t xml:space="preserve">with a credit card. With the help of this scheme, any person can cash out the necessary amount of money for a small commission of 0.3-0.4%. This is </w:t>
      </w:r>
      <w:r w:rsidR="00623127" w:rsidRPr="00720B1C">
        <w:rPr>
          <w:lang w:val="en-US"/>
        </w:rPr>
        <w:t>because</w:t>
      </w:r>
      <w:r w:rsidRPr="00720B1C">
        <w:rPr>
          <w:lang w:val="en-US"/>
        </w:rPr>
        <w:t xml:space="preserve"> the pawnshop </w:t>
      </w:r>
      <w:r w:rsidR="00607B70">
        <w:rPr>
          <w:lang w:val="en-US"/>
        </w:rPr>
        <w:t>charges</w:t>
      </w:r>
      <w:r w:rsidRPr="00720B1C">
        <w:rPr>
          <w:lang w:val="en-US"/>
        </w:rPr>
        <w:t xml:space="preserve"> </w:t>
      </w:r>
      <w:r w:rsidR="00607B70" w:rsidRPr="00720B1C">
        <w:rPr>
          <w:lang w:val="en-US"/>
        </w:rPr>
        <w:lastRenderedPageBreak/>
        <w:t xml:space="preserve">for a one-day loan use </w:t>
      </w:r>
      <w:r w:rsidRPr="00720B1C">
        <w:rPr>
          <w:lang w:val="en-US"/>
        </w:rPr>
        <w:t xml:space="preserve">less than the bank </w:t>
      </w:r>
      <w:r w:rsidR="00607B70">
        <w:rPr>
          <w:lang w:val="en-US"/>
        </w:rPr>
        <w:t xml:space="preserve">does </w:t>
      </w:r>
      <w:r w:rsidRPr="00720B1C">
        <w:rPr>
          <w:lang w:val="en-US"/>
        </w:rPr>
        <w:t xml:space="preserve">for withdrawing money from a credit card at an ATM. Sberbank charges 3-4% for cash withdrawals, Alfa Bank - 3.9-5.9%, VTB 24 - 1-5.5%, </w:t>
      </w:r>
      <w:r w:rsidR="00607B70">
        <w:rPr>
          <w:lang w:val="en-US"/>
        </w:rPr>
        <w:t>besides per-diem</w:t>
      </w:r>
      <w:r w:rsidRPr="00720B1C">
        <w:rPr>
          <w:lang w:val="en-US"/>
        </w:rPr>
        <w:t xml:space="preserve"> limits</w:t>
      </w:r>
      <w:r w:rsidR="00607B70">
        <w:rPr>
          <w:lang w:val="en-US"/>
        </w:rPr>
        <w:t xml:space="preserve"> are set on operations at</w:t>
      </w:r>
      <w:r w:rsidRPr="00720B1C">
        <w:rPr>
          <w:lang w:val="en-US"/>
        </w:rPr>
        <w:t xml:space="preserve"> ATMs </w:t>
      </w:r>
      <w:r w:rsidR="000B357D" w:rsidRPr="00720B1C">
        <w:rPr>
          <w:lang w:val="en-US"/>
        </w:rPr>
        <w:t>[</w:t>
      </w:r>
      <w:r w:rsidR="00100E21" w:rsidRPr="00720B1C">
        <w:rPr>
          <w:lang w:val="en-US"/>
        </w:rPr>
        <w:t>5</w:t>
      </w:r>
      <w:r w:rsidR="000B357D" w:rsidRPr="00720B1C">
        <w:rPr>
          <w:lang w:val="en-US"/>
        </w:rPr>
        <w:t>].</w:t>
      </w:r>
    </w:p>
    <w:p w14:paraId="3C629DBA" w14:textId="3EC5D0C7" w:rsidR="00D40289" w:rsidRPr="00720B1C" w:rsidRDefault="00720B1C" w:rsidP="004A397D">
      <w:pPr>
        <w:ind w:firstLine="0"/>
        <w:rPr>
          <w:lang w:val="en-US"/>
        </w:rPr>
      </w:pPr>
      <w:r w:rsidRPr="00720B1C">
        <w:rPr>
          <w:lang w:val="en-US"/>
        </w:rPr>
        <w:t xml:space="preserve">This scheme of cashing </w:t>
      </w:r>
      <w:r w:rsidR="004A397D">
        <w:rPr>
          <w:lang w:val="en-US"/>
        </w:rPr>
        <w:t>monetary resources</w:t>
      </w:r>
      <w:r w:rsidRPr="00720B1C">
        <w:rPr>
          <w:lang w:val="en-US"/>
        </w:rPr>
        <w:t xml:space="preserve"> is unprofitable for pawnshops, </w:t>
      </w:r>
      <w:r w:rsidR="004A397D">
        <w:rPr>
          <w:lang w:val="en-US"/>
        </w:rPr>
        <w:t>for</w:t>
      </w:r>
      <w:r w:rsidRPr="00720B1C">
        <w:rPr>
          <w:lang w:val="en-US"/>
        </w:rPr>
        <w:t xml:space="preserve"> when paying through a POS terminal the pawnbroker spends up to 3% </w:t>
      </w:r>
      <w:r w:rsidR="004A397D" w:rsidRPr="00720B1C">
        <w:rPr>
          <w:lang w:val="en-US"/>
        </w:rPr>
        <w:t>on cash withdrawal and acquiring</w:t>
      </w:r>
      <w:r w:rsidR="004A397D">
        <w:rPr>
          <w:lang w:val="en-US"/>
        </w:rPr>
        <w:t>,</w:t>
      </w:r>
      <w:r w:rsidR="004A397D" w:rsidRPr="00720B1C">
        <w:rPr>
          <w:lang w:val="en-US"/>
        </w:rPr>
        <w:t xml:space="preserve"> </w:t>
      </w:r>
      <w:r w:rsidRPr="00720B1C">
        <w:rPr>
          <w:lang w:val="en-US"/>
        </w:rPr>
        <w:t xml:space="preserve">which means that pawnshop owners suffer losses. Moreover, when large amounts are being cashed, the owners also </w:t>
      </w:r>
      <w:r w:rsidR="000A5C22">
        <w:rPr>
          <w:lang w:val="en-US"/>
        </w:rPr>
        <w:t>should</w:t>
      </w:r>
      <w:r w:rsidRPr="00720B1C">
        <w:rPr>
          <w:lang w:val="en-US"/>
        </w:rPr>
        <w:t xml:space="preserve"> pay an additional 2% for the collection</w:t>
      </w:r>
      <w:r w:rsidR="00F174CC" w:rsidRPr="00720B1C">
        <w:rPr>
          <w:lang w:val="en-US"/>
        </w:rPr>
        <w:t>.</w:t>
      </w:r>
    </w:p>
    <w:p w14:paraId="4557B6F9" w14:textId="0C16B178" w:rsidR="00B520F0" w:rsidRPr="00720B1C" w:rsidRDefault="00720B1C" w:rsidP="004A397D">
      <w:pPr>
        <w:ind w:firstLine="0"/>
        <w:rPr>
          <w:lang w:val="en-US"/>
        </w:rPr>
      </w:pPr>
      <w:r w:rsidRPr="00720B1C">
        <w:rPr>
          <w:lang w:val="en-US"/>
        </w:rPr>
        <w:t>The Bank of Russia has not taken any action to combat this type of cash withdrawal</w:t>
      </w:r>
      <w:r w:rsidR="004A397D" w:rsidRPr="004A397D">
        <w:rPr>
          <w:lang w:val="en-US"/>
        </w:rPr>
        <w:t xml:space="preserve"> </w:t>
      </w:r>
      <w:r w:rsidR="004A397D" w:rsidRPr="00720B1C">
        <w:rPr>
          <w:lang w:val="en-US"/>
        </w:rPr>
        <w:t>yet</w:t>
      </w:r>
      <w:r w:rsidRPr="00720B1C">
        <w:rPr>
          <w:lang w:val="en-US"/>
        </w:rPr>
        <w:t xml:space="preserve">, since in early 2016 a statement was made that in 2015 about 400 billion rubles were cashed with the help of bank cards, and the above the scheme </w:t>
      </w:r>
      <w:r w:rsidR="004A397D">
        <w:rPr>
          <w:lang w:val="en-US"/>
        </w:rPr>
        <w:t>cost</w:t>
      </w:r>
      <w:r w:rsidRPr="00720B1C">
        <w:rPr>
          <w:lang w:val="en-US"/>
        </w:rPr>
        <w:t xml:space="preserve"> only 1.2 billion rubles </w:t>
      </w:r>
      <w:r w:rsidR="004A397D">
        <w:rPr>
          <w:lang w:val="en-US"/>
        </w:rPr>
        <w:t>–</w:t>
      </w:r>
      <w:r w:rsidRPr="00720B1C">
        <w:rPr>
          <w:lang w:val="en-US"/>
        </w:rPr>
        <w:t xml:space="preserve"> </w:t>
      </w:r>
      <w:r w:rsidR="004A397D">
        <w:rPr>
          <w:lang w:val="en-US"/>
        </w:rPr>
        <w:t>that was</w:t>
      </w:r>
      <w:r w:rsidRPr="00720B1C">
        <w:rPr>
          <w:lang w:val="en-US"/>
        </w:rPr>
        <w:t xml:space="preserve"> 0.3% of the total cash withdrawn. Therefore, today pawnshops </w:t>
      </w:r>
      <w:r w:rsidR="004A397D">
        <w:rPr>
          <w:lang w:val="en-US"/>
        </w:rPr>
        <w:t xml:space="preserve">have started to </w:t>
      </w:r>
      <w:r w:rsidRPr="00720B1C">
        <w:rPr>
          <w:lang w:val="en-US"/>
        </w:rPr>
        <w:t>form black lists of unscrupulous borrowers</w:t>
      </w:r>
      <w:r w:rsidR="00B520F0" w:rsidRPr="00720B1C">
        <w:rPr>
          <w:lang w:val="en-US"/>
        </w:rPr>
        <w:t xml:space="preserve"> [</w:t>
      </w:r>
      <w:r w:rsidR="00BB02F6" w:rsidRPr="00720B1C">
        <w:rPr>
          <w:lang w:val="en-US"/>
        </w:rPr>
        <w:t>5</w:t>
      </w:r>
      <w:r w:rsidR="00B520F0" w:rsidRPr="00720B1C">
        <w:rPr>
          <w:lang w:val="en-US"/>
        </w:rPr>
        <w:t>].</w:t>
      </w:r>
      <w:r w:rsidR="004A397D">
        <w:rPr>
          <w:lang w:val="en-US"/>
        </w:rPr>
        <w:t xml:space="preserve"> </w:t>
      </w:r>
    </w:p>
    <w:p w14:paraId="3F64A016" w14:textId="04D8B33B" w:rsidR="00FB53CE" w:rsidRPr="009A5DAA" w:rsidRDefault="00720B1C" w:rsidP="001230E5">
      <w:pPr>
        <w:spacing w:after="240" w:line="240" w:lineRule="auto"/>
        <w:ind w:firstLine="0"/>
        <w:rPr>
          <w:b/>
          <w:lang w:val="en-US"/>
        </w:rPr>
      </w:pPr>
      <w:r w:rsidRPr="009A5DAA">
        <w:rPr>
          <w:b/>
          <w:lang w:val="en-US"/>
        </w:rPr>
        <w:t>Materials and methods</w:t>
      </w:r>
    </w:p>
    <w:p w14:paraId="1E69155A" w14:textId="56FCF67B" w:rsidR="00B519D7" w:rsidRPr="009A5DAA" w:rsidRDefault="009A5DAA" w:rsidP="004A397D">
      <w:pPr>
        <w:ind w:firstLine="0"/>
        <w:rPr>
          <w:lang w:val="en-US"/>
        </w:rPr>
      </w:pPr>
      <w:r w:rsidRPr="009A5DAA">
        <w:rPr>
          <w:lang w:val="en-US"/>
        </w:rPr>
        <w:t xml:space="preserve">We will </w:t>
      </w:r>
      <w:r w:rsidR="004A397D">
        <w:rPr>
          <w:lang w:val="en-US"/>
        </w:rPr>
        <w:t>consider</w:t>
      </w:r>
      <w:r w:rsidRPr="009A5DAA">
        <w:rPr>
          <w:lang w:val="en-US"/>
        </w:rPr>
        <w:t xml:space="preserve"> the methods for regulating the activity of pawnshops of the Central Bank and </w:t>
      </w:r>
      <w:r w:rsidR="00DF183A">
        <w:rPr>
          <w:lang w:val="en-US"/>
        </w:rPr>
        <w:t>will identify</w:t>
      </w:r>
      <w:r w:rsidRPr="009A5DAA">
        <w:rPr>
          <w:lang w:val="en-US"/>
        </w:rPr>
        <w:t xml:space="preserve"> their effectiveness for the state and for the owners of the organizations. So, as the main method of regulating the activity of pawnshops, it was decided to create internal control</w:t>
      </w:r>
      <w:r w:rsidR="00DF183A">
        <w:rPr>
          <w:lang w:val="en-US"/>
        </w:rPr>
        <w:t xml:space="preserve"> rules for AML/</w:t>
      </w:r>
      <w:r w:rsidRPr="009A5DAA">
        <w:rPr>
          <w:lang w:val="en-US"/>
        </w:rPr>
        <w:t xml:space="preserve">CFT purposes. This document is the main internal document of the pawnshop, which regulates the internal control procedures. Its content </w:t>
      </w:r>
      <w:r w:rsidR="00DF183A">
        <w:rPr>
          <w:lang w:val="en-US"/>
        </w:rPr>
        <w:t xml:space="preserve">is determined by Federal Law </w:t>
      </w:r>
      <w:r w:rsidR="00DF183A" w:rsidRPr="00DF183A">
        <w:rPr>
          <w:lang w:val="en-US"/>
        </w:rPr>
        <w:t>№</w:t>
      </w:r>
      <w:r w:rsidR="00DF183A">
        <w:rPr>
          <w:lang w:val="en-US"/>
        </w:rPr>
        <w:t xml:space="preserve"> 115-FL </w:t>
      </w:r>
      <w:r w:rsidR="00DF183A" w:rsidRPr="00DF183A">
        <w:rPr>
          <w:lang w:val="en-US"/>
        </w:rPr>
        <w:t>«</w:t>
      </w:r>
      <w:r w:rsidRPr="009A5DAA">
        <w:rPr>
          <w:lang w:val="en-US"/>
        </w:rPr>
        <w:t>On Countering the Legalization (Laundering) of Proceeds from C</w:t>
      </w:r>
      <w:r w:rsidR="00DF183A">
        <w:rPr>
          <w:lang w:val="en-US"/>
        </w:rPr>
        <w:t>rime and Financing of Terrorism</w:t>
      </w:r>
      <w:r w:rsidR="00DF183A" w:rsidRPr="00DF183A">
        <w:rPr>
          <w:lang w:val="en-US"/>
        </w:rPr>
        <w:t>»</w:t>
      </w:r>
      <w:r w:rsidRPr="009A5DAA">
        <w:rPr>
          <w:lang w:val="en-US"/>
        </w:rPr>
        <w:t xml:space="preserve"> of 07.08.2001, as well as by the regulations of the Bank of Russia </w:t>
      </w:r>
      <w:r w:rsidR="00B80E46" w:rsidRPr="009A5DAA">
        <w:rPr>
          <w:lang w:val="en-US"/>
        </w:rPr>
        <w:t>[</w:t>
      </w:r>
      <w:r w:rsidR="00BB02F6" w:rsidRPr="009A5DAA">
        <w:rPr>
          <w:lang w:val="en-US"/>
        </w:rPr>
        <w:t>6</w:t>
      </w:r>
      <w:r w:rsidR="00B80E46" w:rsidRPr="009A5DAA">
        <w:rPr>
          <w:lang w:val="en-US"/>
        </w:rPr>
        <w:t>]</w:t>
      </w:r>
      <w:r w:rsidR="00FE7306" w:rsidRPr="009A5DAA">
        <w:rPr>
          <w:lang w:val="en-US"/>
        </w:rPr>
        <w:t>:</w:t>
      </w:r>
    </w:p>
    <w:p w14:paraId="0FDAD9DD" w14:textId="3D78345F" w:rsidR="009A5DAA" w:rsidRDefault="009A5DAA" w:rsidP="001230E5">
      <w:pPr>
        <w:pStyle w:val="ab"/>
        <w:numPr>
          <w:ilvl w:val="0"/>
          <w:numId w:val="14"/>
        </w:numPr>
        <w:rPr>
          <w:lang w:val="en-US"/>
        </w:rPr>
      </w:pPr>
      <w:r w:rsidRPr="009A5DAA">
        <w:rPr>
          <w:lang w:val="en-US"/>
        </w:rPr>
        <w:t>Regulations on requirements for internal control rules of non-credit financial organizations with a view to counteract the legalization (laundering) of proceeds from crime and financing of terrorism (approved by the Bank of</w:t>
      </w:r>
      <w:r w:rsidR="00DF183A">
        <w:rPr>
          <w:lang w:val="en-US"/>
        </w:rPr>
        <w:t xml:space="preserve"> Russia on December 15, 2014 </w:t>
      </w:r>
      <w:r w:rsidR="00DF183A" w:rsidRPr="00DF183A">
        <w:rPr>
          <w:lang w:val="en-US"/>
        </w:rPr>
        <w:t>№</w:t>
      </w:r>
      <w:r w:rsidRPr="009A5DAA">
        <w:rPr>
          <w:lang w:val="en-US"/>
        </w:rPr>
        <w:t xml:space="preserve"> 445-P) (as amended on July 28, 2016);</w:t>
      </w:r>
    </w:p>
    <w:p w14:paraId="71AA56EF" w14:textId="588349EE" w:rsidR="00B519D7" w:rsidRDefault="009A5DAA" w:rsidP="001230E5">
      <w:pPr>
        <w:pStyle w:val="ab"/>
        <w:numPr>
          <w:ilvl w:val="0"/>
          <w:numId w:val="14"/>
        </w:numPr>
        <w:rPr>
          <w:lang w:val="en-US"/>
        </w:rPr>
      </w:pPr>
      <w:r w:rsidRPr="009A5DAA">
        <w:rPr>
          <w:lang w:val="en-US"/>
        </w:rPr>
        <w:t xml:space="preserve">Regulations on the identification of clients, client representatives, beneficiaries, beneficiary owners with the aim of counteracting money laundering and financing of terrorism by non-credit financial organizations </w:t>
      </w:r>
      <w:r w:rsidRPr="009A5DAA">
        <w:rPr>
          <w:lang w:val="en-US"/>
        </w:rPr>
        <w:lastRenderedPageBreak/>
        <w:t xml:space="preserve">(approved by the </w:t>
      </w:r>
      <w:r w:rsidR="00DF183A">
        <w:rPr>
          <w:lang w:val="en-US"/>
        </w:rPr>
        <w:t xml:space="preserve">Bank of Russia on 12.12.2014 </w:t>
      </w:r>
      <w:r w:rsidR="00DF183A" w:rsidRPr="00DF183A">
        <w:rPr>
          <w:lang w:val="en-US"/>
        </w:rPr>
        <w:t>№</w:t>
      </w:r>
      <w:r w:rsidRPr="009A5DAA">
        <w:rPr>
          <w:lang w:val="en-US"/>
        </w:rPr>
        <w:t xml:space="preserve"> 444-P) (as amended on 18.08. 2016).</w:t>
      </w:r>
    </w:p>
    <w:p w14:paraId="39711A88" w14:textId="69396AEE" w:rsidR="00804831" w:rsidRDefault="009A5DAA" w:rsidP="00CA7CDA">
      <w:pPr>
        <w:ind w:firstLine="0"/>
        <w:rPr>
          <w:lang w:val="en-US"/>
        </w:rPr>
      </w:pPr>
      <w:r w:rsidRPr="009A5DAA">
        <w:rPr>
          <w:lang w:val="en-US"/>
        </w:rPr>
        <w:t>The rules for internal cont</w:t>
      </w:r>
      <w:r w:rsidR="00804831">
        <w:rPr>
          <w:lang w:val="en-US"/>
        </w:rPr>
        <w:t>rol (hereinafter - IRC) for AML/</w:t>
      </w:r>
      <w:r w:rsidRPr="009A5DAA">
        <w:rPr>
          <w:lang w:val="en-US"/>
        </w:rPr>
        <w:t xml:space="preserve">CFT purposes are </w:t>
      </w:r>
      <w:r w:rsidR="00DF183A" w:rsidRPr="009A5DAA">
        <w:rPr>
          <w:lang w:val="en-US"/>
        </w:rPr>
        <w:t>first</w:t>
      </w:r>
      <w:r w:rsidRPr="009A5DAA">
        <w:rPr>
          <w:lang w:val="en-US"/>
        </w:rPr>
        <w:t xml:space="preserve"> requested from pawnshops when conducting inspections by the supervisory authorities - the Central Bank of Russia and the Prosecutor's Office. All</w:t>
      </w:r>
      <w:r w:rsidR="00CA7CDA">
        <w:rPr>
          <w:lang w:val="en-US"/>
        </w:rPr>
        <w:t xml:space="preserve"> the ICR</w:t>
      </w:r>
      <w:r w:rsidRPr="009A5DAA">
        <w:rPr>
          <w:lang w:val="en-US"/>
        </w:rPr>
        <w:t xml:space="preserve"> documentation must be up-to-date and executed in accordance with the requirements of the legislation of the Russian Federation.</w:t>
      </w:r>
    </w:p>
    <w:p w14:paraId="304948D7" w14:textId="5AC81835" w:rsidR="00B87D28" w:rsidRPr="009A5DAA" w:rsidRDefault="009A5DAA" w:rsidP="00CA7CDA">
      <w:pPr>
        <w:ind w:firstLine="0"/>
        <w:rPr>
          <w:lang w:val="en-US"/>
        </w:rPr>
      </w:pPr>
      <w:r w:rsidRPr="009A5DAA">
        <w:rPr>
          <w:lang w:val="en-US"/>
        </w:rPr>
        <w:t>When analyzing the effectiveness of this method, it should be noted that a full PVK system can be implemented only by large pawnshops whose revenues exceed 120 million rubles per month. As for small and medium-sized businesses, they account for the majority of fines for violations of the IRC, as well as suits in arbitration courts. That is why, it is necessary to create a methodological basis for the PVK for each type of business</w:t>
      </w:r>
      <w:r w:rsidR="00DE039A" w:rsidRPr="009A5DAA">
        <w:rPr>
          <w:lang w:val="en-US"/>
        </w:rPr>
        <w:t xml:space="preserve">. </w:t>
      </w:r>
    </w:p>
    <w:p w14:paraId="58F115BD" w14:textId="0609A7B7" w:rsidR="001B58DC" w:rsidRPr="009A5DAA" w:rsidRDefault="009A5DAA" w:rsidP="008B3D93">
      <w:pPr>
        <w:ind w:firstLine="0"/>
        <w:rPr>
          <w:lang w:val="en-US"/>
        </w:rPr>
      </w:pPr>
      <w:r w:rsidRPr="009A5DAA">
        <w:rPr>
          <w:lang w:val="en-US"/>
        </w:rPr>
        <w:t xml:space="preserve">Another method is to tighten the rules for reporting, according to which pawnshops are required to provide their reporting to the CBR quarterly, every six months, </w:t>
      </w:r>
      <w:r w:rsidR="008B3D93">
        <w:rPr>
          <w:lang w:val="en-US"/>
        </w:rPr>
        <w:t xml:space="preserve">every </w:t>
      </w:r>
      <w:r w:rsidRPr="009A5DAA">
        <w:rPr>
          <w:lang w:val="en-US"/>
        </w:rPr>
        <w:t>9 months</w:t>
      </w:r>
      <w:r w:rsidR="008B3D93">
        <w:rPr>
          <w:lang w:val="en-US"/>
        </w:rPr>
        <w:t>,</w:t>
      </w:r>
      <w:r w:rsidRPr="009A5DAA">
        <w:rPr>
          <w:lang w:val="en-US"/>
        </w:rPr>
        <w:t xml:space="preserve"> and annually. On the one hand, it allows to monitor the activity of pawnshops of any type and size on an ongoing basis. But, on the other hand, small and medium-sized businesses are again suffering from newly</w:t>
      </w:r>
      <w:r w:rsidR="00804831">
        <w:rPr>
          <w:lang w:val="en-US"/>
        </w:rPr>
        <w:t xml:space="preserve"> implemented methods, which can</w:t>
      </w:r>
      <w:r w:rsidRPr="009A5DAA">
        <w:rPr>
          <w:lang w:val="en-US"/>
        </w:rPr>
        <w:t xml:space="preserve">not financially afford to carry out reporting with such frequency. </w:t>
      </w:r>
      <w:r w:rsidR="008B3D93">
        <w:rPr>
          <w:lang w:val="en-US"/>
        </w:rPr>
        <w:t>Having analyzed</w:t>
      </w:r>
      <w:r w:rsidRPr="009A5DAA">
        <w:rPr>
          <w:lang w:val="en-US"/>
        </w:rPr>
        <w:t xml:space="preserve"> the problem of fines for failure to provide reports, the Central Bank of Russia decided that it </w:t>
      </w:r>
      <w:r w:rsidR="008B3D93">
        <w:rPr>
          <w:lang w:val="en-US"/>
        </w:rPr>
        <w:t>i</w:t>
      </w:r>
      <w:r w:rsidRPr="009A5DAA">
        <w:rPr>
          <w:lang w:val="en-US"/>
        </w:rPr>
        <w:t>s necessary to transform this system</w:t>
      </w:r>
      <w:r w:rsidR="00FD0ED4" w:rsidRPr="009A5DAA">
        <w:rPr>
          <w:lang w:val="en-US"/>
        </w:rPr>
        <w:t xml:space="preserve">. </w:t>
      </w:r>
    </w:p>
    <w:p w14:paraId="041A05D1" w14:textId="1F50360D" w:rsidR="00FD0ED4" w:rsidRPr="009A5DAA" w:rsidRDefault="009A5DAA" w:rsidP="008B3D93">
      <w:pPr>
        <w:ind w:firstLine="0"/>
        <w:rPr>
          <w:lang w:val="en-US"/>
        </w:rPr>
      </w:pPr>
      <w:r w:rsidRPr="009A5DAA">
        <w:rPr>
          <w:lang w:val="en-US"/>
        </w:rPr>
        <w:t>That is why the developed agile map</w:t>
      </w:r>
      <w:r w:rsidR="008B3D93" w:rsidRPr="008B3D93">
        <w:rPr>
          <w:lang w:val="en-US"/>
        </w:rPr>
        <w:t xml:space="preserve"> </w:t>
      </w:r>
      <w:r w:rsidR="008B3D93">
        <w:rPr>
          <w:lang w:val="en-US"/>
        </w:rPr>
        <w:t>contains</w:t>
      </w:r>
      <w:r w:rsidRPr="009A5DAA">
        <w:rPr>
          <w:lang w:val="en-US"/>
        </w:rPr>
        <w:t xml:space="preserve"> proposals to weaken the reporting requirements for small and medium-sized businesses in this area. Such pawnshops will be able to report only once every six months, as well as </w:t>
      </w:r>
      <w:r w:rsidR="008B3D93">
        <w:rPr>
          <w:lang w:val="en-US"/>
        </w:rPr>
        <w:t xml:space="preserve">to </w:t>
      </w:r>
      <w:r w:rsidRPr="009A5DAA">
        <w:rPr>
          <w:lang w:val="en-US"/>
        </w:rPr>
        <w:t xml:space="preserve">pay </w:t>
      </w:r>
      <w:r w:rsidR="008B3D93">
        <w:rPr>
          <w:lang w:val="en-US"/>
        </w:rPr>
        <w:t>fewer</w:t>
      </w:r>
      <w:r w:rsidRPr="009A5DAA">
        <w:rPr>
          <w:lang w:val="en-US"/>
        </w:rPr>
        <w:t xml:space="preserve"> penalties for minor violations of AML / CFT requirements. If these requirements come into effect, our state will be able to minimize the percentage of pawnshops operating in the shadow to the previous 10-15%</w:t>
      </w:r>
      <w:r w:rsidR="00FE256C" w:rsidRPr="009A5DAA">
        <w:rPr>
          <w:lang w:val="en-US"/>
        </w:rPr>
        <w:t>.</w:t>
      </w:r>
    </w:p>
    <w:p w14:paraId="42771FE6" w14:textId="4F569E6A" w:rsidR="00FB53CE" w:rsidRPr="00804831" w:rsidRDefault="009A5DAA" w:rsidP="001230E5">
      <w:pPr>
        <w:spacing w:line="240" w:lineRule="auto"/>
        <w:ind w:firstLine="0"/>
        <w:rPr>
          <w:b/>
          <w:lang w:val="en-US"/>
        </w:rPr>
      </w:pPr>
      <w:r w:rsidRPr="00804831">
        <w:rPr>
          <w:b/>
          <w:lang w:val="en-US"/>
        </w:rPr>
        <w:t>Results</w:t>
      </w:r>
    </w:p>
    <w:p w14:paraId="0F0FAF53" w14:textId="5F7350CC" w:rsidR="009A546B" w:rsidRPr="00244E76" w:rsidRDefault="009A5DAA" w:rsidP="008B3D93">
      <w:pPr>
        <w:ind w:firstLine="0"/>
        <w:rPr>
          <w:lang w:val="en-US"/>
        </w:rPr>
      </w:pPr>
      <w:r w:rsidRPr="009A5DAA">
        <w:rPr>
          <w:lang w:val="en-US"/>
        </w:rPr>
        <w:t xml:space="preserve">As an elaboration, optimization of methods for regulating the activity of small and medium-sized pawnshops will be proposed, since it is wrong to make the same </w:t>
      </w:r>
      <w:r w:rsidRPr="009A5DAA">
        <w:rPr>
          <w:lang w:val="en-US"/>
        </w:rPr>
        <w:lastRenderedPageBreak/>
        <w:t xml:space="preserve">requirements for networks with 100 pawnshops and small entrepreneurs. </w:t>
      </w:r>
      <w:r w:rsidR="008B3D93">
        <w:rPr>
          <w:lang w:val="en-US"/>
        </w:rPr>
        <w:t>Moreover</w:t>
      </w:r>
      <w:r w:rsidRPr="009A5DAA">
        <w:rPr>
          <w:lang w:val="en-US"/>
        </w:rPr>
        <w:t xml:space="preserve">, this is necessary to ensure that </w:t>
      </w:r>
      <w:r w:rsidR="008B3D93">
        <w:rPr>
          <w:lang w:val="en-US"/>
        </w:rPr>
        <w:t xml:space="preserve">small-size </w:t>
      </w:r>
      <w:r w:rsidRPr="009A5DAA">
        <w:rPr>
          <w:lang w:val="en-US"/>
        </w:rPr>
        <w:t xml:space="preserve">pawnshops do not change their activities to </w:t>
      </w:r>
      <w:r w:rsidR="008B3D93">
        <w:rPr>
          <w:lang w:val="en-US"/>
        </w:rPr>
        <w:t xml:space="preserve">those of </w:t>
      </w:r>
      <w:r w:rsidRPr="009A5DAA">
        <w:rPr>
          <w:lang w:val="en-US"/>
        </w:rPr>
        <w:t>commission stores, pay taxes to the state fully, and consumers would be protected when using services of a different nature</w:t>
      </w:r>
      <w:r w:rsidR="00A656DD" w:rsidRPr="009A5DAA">
        <w:rPr>
          <w:lang w:val="en-US"/>
        </w:rPr>
        <w:t xml:space="preserve"> [7]</w:t>
      </w:r>
      <w:r w:rsidR="007E72CA" w:rsidRPr="009A5DAA">
        <w:rPr>
          <w:lang w:val="en-US"/>
        </w:rPr>
        <w:t>.</w:t>
      </w:r>
      <w:r w:rsidR="00E868E2" w:rsidRPr="009A5DAA">
        <w:rPr>
          <w:lang w:val="en-US"/>
        </w:rPr>
        <w:t xml:space="preserve"> </w:t>
      </w:r>
    </w:p>
    <w:p w14:paraId="7CFBD48F" w14:textId="4381BDBF" w:rsidR="001230E5" w:rsidRPr="001230E5" w:rsidRDefault="001230E5" w:rsidP="001230E5">
      <w:pPr>
        <w:spacing w:line="240" w:lineRule="auto"/>
        <w:ind w:firstLine="0"/>
        <w:jc w:val="center"/>
        <w:rPr>
          <w:sz w:val="20"/>
          <w:lang w:val="en-US"/>
        </w:rPr>
      </w:pPr>
      <w:r>
        <w:rPr>
          <w:sz w:val="20"/>
          <w:lang w:val="en-US"/>
        </w:rPr>
        <w:t>Table 1</w:t>
      </w:r>
      <w:r w:rsidRPr="001230E5">
        <w:rPr>
          <w:sz w:val="20"/>
          <w:lang w:val="en-US"/>
        </w:rPr>
        <w:t xml:space="preserve"> </w:t>
      </w:r>
      <w:r w:rsidRPr="001230E5">
        <w:rPr>
          <w:rFonts w:cs="Times New Roman"/>
          <w:sz w:val="20"/>
          <w:szCs w:val="20"/>
          <w:lang w:val="en-US"/>
        </w:rPr>
        <w:t xml:space="preserve">— </w:t>
      </w:r>
      <w:r w:rsidRPr="001230E5">
        <w:rPr>
          <w:sz w:val="20"/>
          <w:lang w:val="en-US"/>
        </w:rPr>
        <w:t>Optimization of methods for regulating the activity of small and medium-sized pawnshops</w:t>
      </w:r>
    </w:p>
    <w:p w14:paraId="652CA67C" w14:textId="64167945" w:rsidR="001230E5" w:rsidRPr="001230E5" w:rsidRDefault="001230E5" w:rsidP="001230E5">
      <w:pPr>
        <w:ind w:firstLine="0"/>
        <w:jc w:val="center"/>
        <w:rPr>
          <w:sz w:val="20"/>
          <w:lang w:val="en-US"/>
        </w:rPr>
      </w:pPr>
      <w:r w:rsidRPr="001230E5">
        <w:rPr>
          <w:sz w:val="20"/>
          <w:lang w:val="en-US"/>
        </w:rPr>
        <w:t>Source: developed by the authors.</w:t>
      </w:r>
    </w:p>
    <w:tbl>
      <w:tblPr>
        <w:tblStyle w:val="ac"/>
        <w:tblW w:w="0" w:type="auto"/>
        <w:jc w:val="center"/>
        <w:tblLook w:val="04A0" w:firstRow="1" w:lastRow="0" w:firstColumn="1" w:lastColumn="0" w:noHBand="0" w:noVBand="1"/>
      </w:tblPr>
      <w:tblGrid>
        <w:gridCol w:w="1677"/>
        <w:gridCol w:w="2150"/>
        <w:gridCol w:w="2006"/>
        <w:gridCol w:w="3795"/>
      </w:tblGrid>
      <w:tr w:rsidR="00C3610F" w:rsidRPr="003F5A19" w14:paraId="35D4A1E6" w14:textId="4D8D399E" w:rsidTr="00B6560B">
        <w:trPr>
          <w:jc w:val="center"/>
        </w:trPr>
        <w:tc>
          <w:tcPr>
            <w:tcW w:w="1677" w:type="dxa"/>
            <w:vAlign w:val="center"/>
          </w:tcPr>
          <w:p w14:paraId="0D532D33" w14:textId="288E9314" w:rsidR="003F5A19" w:rsidRPr="003F5A19" w:rsidRDefault="009A5DAA" w:rsidP="003F5A19">
            <w:pPr>
              <w:spacing w:line="276" w:lineRule="auto"/>
              <w:ind w:firstLine="0"/>
              <w:jc w:val="center"/>
              <w:rPr>
                <w:b/>
                <w:sz w:val="24"/>
              </w:rPr>
            </w:pPr>
            <w:r w:rsidRPr="009A5DAA">
              <w:rPr>
                <w:b/>
                <w:sz w:val="24"/>
              </w:rPr>
              <w:t>Criterion</w:t>
            </w:r>
          </w:p>
        </w:tc>
        <w:tc>
          <w:tcPr>
            <w:tcW w:w="2150" w:type="dxa"/>
            <w:vAlign w:val="center"/>
          </w:tcPr>
          <w:p w14:paraId="4AF9B653" w14:textId="17DBCD53" w:rsidR="003F5A19" w:rsidRPr="003F5A19" w:rsidRDefault="009A5DAA" w:rsidP="003F5A19">
            <w:pPr>
              <w:spacing w:line="276" w:lineRule="auto"/>
              <w:ind w:firstLine="0"/>
              <w:jc w:val="center"/>
              <w:rPr>
                <w:b/>
                <w:sz w:val="24"/>
              </w:rPr>
            </w:pPr>
            <w:r w:rsidRPr="009A5DAA">
              <w:rPr>
                <w:b/>
                <w:sz w:val="24"/>
              </w:rPr>
              <w:t>Modern regulation</w:t>
            </w:r>
          </w:p>
        </w:tc>
        <w:tc>
          <w:tcPr>
            <w:tcW w:w="2006" w:type="dxa"/>
            <w:vAlign w:val="center"/>
          </w:tcPr>
          <w:p w14:paraId="68D45BDA" w14:textId="7C0E7079" w:rsidR="003F5A19" w:rsidRPr="003F5A19" w:rsidRDefault="009A5DAA" w:rsidP="003F5A19">
            <w:pPr>
              <w:spacing w:line="276" w:lineRule="auto"/>
              <w:ind w:firstLine="0"/>
              <w:jc w:val="center"/>
              <w:rPr>
                <w:b/>
                <w:sz w:val="24"/>
              </w:rPr>
            </w:pPr>
            <w:r w:rsidRPr="009A5DAA">
              <w:rPr>
                <w:b/>
                <w:sz w:val="24"/>
              </w:rPr>
              <w:t>Optimization</w:t>
            </w:r>
          </w:p>
        </w:tc>
        <w:tc>
          <w:tcPr>
            <w:tcW w:w="3795" w:type="dxa"/>
            <w:vAlign w:val="center"/>
          </w:tcPr>
          <w:p w14:paraId="3DE84DEC" w14:textId="734225BB" w:rsidR="003F5A19" w:rsidRPr="003F5A19" w:rsidRDefault="009A5DAA" w:rsidP="003F5A19">
            <w:pPr>
              <w:spacing w:line="276" w:lineRule="auto"/>
              <w:ind w:firstLine="0"/>
              <w:jc w:val="center"/>
              <w:rPr>
                <w:b/>
                <w:sz w:val="24"/>
              </w:rPr>
            </w:pPr>
            <w:r w:rsidRPr="009A5DAA">
              <w:rPr>
                <w:b/>
                <w:sz w:val="24"/>
              </w:rPr>
              <w:t>Necessity of change</w:t>
            </w:r>
          </w:p>
        </w:tc>
      </w:tr>
      <w:tr w:rsidR="00C3610F" w:rsidRPr="00EF22CA" w14:paraId="424C6C4F" w14:textId="14022350" w:rsidTr="00B6560B">
        <w:trPr>
          <w:jc w:val="center"/>
        </w:trPr>
        <w:tc>
          <w:tcPr>
            <w:tcW w:w="1677" w:type="dxa"/>
            <w:vAlign w:val="center"/>
          </w:tcPr>
          <w:p w14:paraId="3953B704" w14:textId="56A47FF7" w:rsidR="003F5A19" w:rsidRPr="003F5A19" w:rsidRDefault="003C2D81" w:rsidP="003F5A19">
            <w:pPr>
              <w:spacing w:line="276" w:lineRule="auto"/>
              <w:ind w:firstLine="0"/>
              <w:jc w:val="center"/>
              <w:rPr>
                <w:sz w:val="24"/>
              </w:rPr>
            </w:pPr>
            <w:r w:rsidRPr="003C2D81">
              <w:rPr>
                <w:sz w:val="24"/>
              </w:rPr>
              <w:t>Working hours</w:t>
            </w:r>
          </w:p>
        </w:tc>
        <w:tc>
          <w:tcPr>
            <w:tcW w:w="2150" w:type="dxa"/>
            <w:vAlign w:val="center"/>
          </w:tcPr>
          <w:p w14:paraId="5BA0F2B6" w14:textId="7A84A19E" w:rsidR="003F5A19" w:rsidRPr="005A78A2" w:rsidRDefault="003C2D81" w:rsidP="003F5A19">
            <w:pPr>
              <w:spacing w:line="276" w:lineRule="auto"/>
              <w:ind w:firstLine="0"/>
              <w:jc w:val="center"/>
              <w:rPr>
                <w:sz w:val="24"/>
                <w:lang w:val="en-US"/>
              </w:rPr>
            </w:pPr>
            <w:r w:rsidRPr="005A78A2">
              <w:rPr>
                <w:sz w:val="24"/>
                <w:lang w:val="en-US"/>
              </w:rPr>
              <w:t>8 a</w:t>
            </w:r>
            <w:r w:rsidR="005A78A2">
              <w:rPr>
                <w:sz w:val="24"/>
                <w:lang w:val="en-US"/>
              </w:rPr>
              <w:t>.</w:t>
            </w:r>
            <w:r w:rsidRPr="005A78A2">
              <w:rPr>
                <w:sz w:val="24"/>
                <w:lang w:val="en-US"/>
              </w:rPr>
              <w:t>m</w:t>
            </w:r>
            <w:r w:rsidR="005A78A2">
              <w:rPr>
                <w:sz w:val="24"/>
                <w:lang w:val="en-US"/>
              </w:rPr>
              <w:t>.</w:t>
            </w:r>
            <w:r w:rsidRPr="005A78A2">
              <w:rPr>
                <w:sz w:val="24"/>
                <w:lang w:val="en-US"/>
              </w:rPr>
              <w:t>-8 p</w:t>
            </w:r>
            <w:r w:rsidR="005A78A2">
              <w:rPr>
                <w:sz w:val="24"/>
                <w:lang w:val="en-US"/>
              </w:rPr>
              <w:t>.</w:t>
            </w:r>
            <w:r w:rsidRPr="005A78A2">
              <w:rPr>
                <w:sz w:val="24"/>
                <w:lang w:val="en-US"/>
              </w:rPr>
              <w:t>m</w:t>
            </w:r>
            <w:r w:rsidR="005A78A2">
              <w:rPr>
                <w:sz w:val="24"/>
                <w:lang w:val="en-US"/>
              </w:rPr>
              <w:t>.</w:t>
            </w:r>
          </w:p>
        </w:tc>
        <w:tc>
          <w:tcPr>
            <w:tcW w:w="2006" w:type="dxa"/>
            <w:vAlign w:val="center"/>
          </w:tcPr>
          <w:p w14:paraId="488C1D4A" w14:textId="23E7F5EC" w:rsidR="003F5A19" w:rsidRPr="005A78A2" w:rsidRDefault="005A78A2" w:rsidP="003F5A19">
            <w:pPr>
              <w:spacing w:line="276" w:lineRule="auto"/>
              <w:ind w:firstLine="0"/>
              <w:jc w:val="center"/>
              <w:rPr>
                <w:sz w:val="24"/>
                <w:lang w:val="en-US"/>
              </w:rPr>
            </w:pPr>
            <w:r>
              <w:rPr>
                <w:sz w:val="24"/>
                <w:lang w:val="en-US"/>
              </w:rPr>
              <w:t>24 hours a day</w:t>
            </w:r>
          </w:p>
        </w:tc>
        <w:tc>
          <w:tcPr>
            <w:tcW w:w="3795" w:type="dxa"/>
          </w:tcPr>
          <w:p w14:paraId="6BAC4762" w14:textId="77777777" w:rsidR="003C2D81" w:rsidRPr="003C2D81" w:rsidRDefault="003C2D81" w:rsidP="00804831">
            <w:pPr>
              <w:pStyle w:val="ab"/>
              <w:spacing w:line="276" w:lineRule="auto"/>
              <w:ind w:left="0" w:firstLine="0"/>
              <w:jc w:val="left"/>
              <w:rPr>
                <w:sz w:val="24"/>
                <w:lang w:val="en-US"/>
              </w:rPr>
            </w:pPr>
            <w:r w:rsidRPr="003C2D81">
              <w:rPr>
                <w:sz w:val="24"/>
                <w:lang w:val="en-US"/>
              </w:rPr>
              <w:t>1. Helps detain criminals on "hot" tracks</w:t>
            </w:r>
          </w:p>
          <w:p w14:paraId="4B3B5B09" w14:textId="77777777" w:rsidR="003C2D81" w:rsidRPr="003C2D81" w:rsidRDefault="003C2D81" w:rsidP="00804831">
            <w:pPr>
              <w:pStyle w:val="ab"/>
              <w:spacing w:line="276" w:lineRule="auto"/>
              <w:ind w:left="0" w:firstLine="0"/>
              <w:jc w:val="left"/>
              <w:rPr>
                <w:sz w:val="24"/>
                <w:lang w:val="en-US"/>
              </w:rPr>
            </w:pPr>
            <w:r w:rsidRPr="003C2D81">
              <w:rPr>
                <w:sz w:val="24"/>
                <w:lang w:val="en-US"/>
              </w:rPr>
              <w:t>2. Allows not to violate the competition between KOs and NCOs</w:t>
            </w:r>
          </w:p>
          <w:p w14:paraId="3F20396B" w14:textId="77777777" w:rsidR="003C2D81" w:rsidRPr="003C2D81" w:rsidRDefault="003C2D81" w:rsidP="00804831">
            <w:pPr>
              <w:pStyle w:val="ab"/>
              <w:spacing w:line="276" w:lineRule="auto"/>
              <w:ind w:left="0" w:firstLine="0"/>
              <w:jc w:val="left"/>
              <w:rPr>
                <w:sz w:val="24"/>
                <w:lang w:val="en-US"/>
              </w:rPr>
            </w:pPr>
            <w:r w:rsidRPr="003C2D81">
              <w:rPr>
                <w:sz w:val="24"/>
                <w:lang w:val="en-US"/>
              </w:rPr>
              <w:t>3. Increases turnover of pawnshops, which accompanies an increase in tax payments</w:t>
            </w:r>
          </w:p>
          <w:p w14:paraId="31117FF7" w14:textId="59965195" w:rsidR="00784A9C" w:rsidRPr="003C2D81" w:rsidRDefault="003C2D81" w:rsidP="00804831">
            <w:pPr>
              <w:pStyle w:val="ab"/>
              <w:spacing w:line="276" w:lineRule="auto"/>
              <w:ind w:left="0" w:firstLine="0"/>
              <w:jc w:val="left"/>
              <w:rPr>
                <w:sz w:val="24"/>
                <w:lang w:val="en-US"/>
              </w:rPr>
            </w:pPr>
            <w:r>
              <w:rPr>
                <w:sz w:val="24"/>
                <w:lang w:val="en-US"/>
              </w:rPr>
              <w:t>4.</w:t>
            </w:r>
            <w:r w:rsidRPr="003C2D81">
              <w:rPr>
                <w:sz w:val="24"/>
                <w:lang w:val="en-US"/>
              </w:rPr>
              <w:t>Allows citizens to get a quick loan if necessary</w:t>
            </w:r>
          </w:p>
        </w:tc>
      </w:tr>
      <w:tr w:rsidR="00C3610F" w:rsidRPr="00EF22CA" w14:paraId="4EE686AF" w14:textId="076700A6" w:rsidTr="00B6560B">
        <w:trPr>
          <w:jc w:val="center"/>
        </w:trPr>
        <w:tc>
          <w:tcPr>
            <w:tcW w:w="1677" w:type="dxa"/>
            <w:vAlign w:val="center"/>
          </w:tcPr>
          <w:p w14:paraId="08E3F708" w14:textId="736B092B" w:rsidR="003F5A19" w:rsidRPr="003F5A19" w:rsidRDefault="003C2D81" w:rsidP="00BC78C6">
            <w:pPr>
              <w:spacing w:line="276" w:lineRule="auto"/>
              <w:ind w:firstLine="0"/>
              <w:jc w:val="center"/>
              <w:rPr>
                <w:sz w:val="24"/>
              </w:rPr>
            </w:pPr>
            <w:r w:rsidRPr="003C2D81">
              <w:rPr>
                <w:sz w:val="24"/>
              </w:rPr>
              <w:t>Reporting</w:t>
            </w:r>
          </w:p>
        </w:tc>
        <w:tc>
          <w:tcPr>
            <w:tcW w:w="2150" w:type="dxa"/>
            <w:vAlign w:val="center"/>
          </w:tcPr>
          <w:p w14:paraId="2C88A9B3" w14:textId="30E0EE9A" w:rsidR="003F5A19" w:rsidRPr="003C2D81" w:rsidRDefault="003C2D81" w:rsidP="00BC78C6">
            <w:pPr>
              <w:spacing w:line="276" w:lineRule="auto"/>
              <w:ind w:firstLine="0"/>
              <w:jc w:val="center"/>
              <w:rPr>
                <w:sz w:val="24"/>
                <w:lang w:val="en-US"/>
              </w:rPr>
            </w:pPr>
            <w:r w:rsidRPr="003C2D81">
              <w:rPr>
                <w:sz w:val="24"/>
                <w:lang w:val="en-US"/>
              </w:rPr>
              <w:t>Mandatory provision of quarterly, semi-annual, 9-month and annual reporting of the Central Bank</w:t>
            </w:r>
          </w:p>
        </w:tc>
        <w:tc>
          <w:tcPr>
            <w:tcW w:w="2006" w:type="dxa"/>
            <w:vAlign w:val="center"/>
          </w:tcPr>
          <w:p w14:paraId="11E30FEC" w14:textId="2B50AEE6" w:rsidR="003F5A19" w:rsidRPr="003C2D81" w:rsidRDefault="003C2D81" w:rsidP="003F5A19">
            <w:pPr>
              <w:spacing w:line="276" w:lineRule="auto"/>
              <w:ind w:firstLine="0"/>
              <w:jc w:val="center"/>
              <w:rPr>
                <w:sz w:val="24"/>
                <w:lang w:val="en-US"/>
              </w:rPr>
            </w:pPr>
            <w:r w:rsidRPr="003C2D81">
              <w:rPr>
                <w:sz w:val="24"/>
                <w:lang w:val="en-US"/>
              </w:rPr>
              <w:t>Mandatory reporting of quarterly statements only</w:t>
            </w:r>
          </w:p>
        </w:tc>
        <w:tc>
          <w:tcPr>
            <w:tcW w:w="3795" w:type="dxa"/>
          </w:tcPr>
          <w:p w14:paraId="738B6BA0" w14:textId="77777777" w:rsidR="003C2D81" w:rsidRPr="003C2D81" w:rsidRDefault="003C2D81" w:rsidP="00804831">
            <w:pPr>
              <w:pStyle w:val="ab"/>
              <w:spacing w:line="276" w:lineRule="auto"/>
              <w:ind w:left="0" w:firstLine="0"/>
              <w:jc w:val="left"/>
              <w:rPr>
                <w:sz w:val="24"/>
                <w:lang w:val="en-US"/>
              </w:rPr>
            </w:pPr>
            <w:r w:rsidRPr="003C2D81">
              <w:rPr>
                <w:sz w:val="24"/>
                <w:lang w:val="en-US"/>
              </w:rPr>
              <w:t>1. Small and medium-sized pawnshops do not have enough financial resources to fulfill the set conditions</w:t>
            </w:r>
          </w:p>
          <w:p w14:paraId="15909296" w14:textId="46ACBE5A" w:rsidR="00A06011" w:rsidRPr="003C2D81" w:rsidRDefault="003C2D81" w:rsidP="00804831">
            <w:pPr>
              <w:pStyle w:val="ab"/>
              <w:spacing w:line="276" w:lineRule="auto"/>
              <w:ind w:left="0" w:firstLine="0"/>
              <w:jc w:val="left"/>
              <w:rPr>
                <w:sz w:val="24"/>
                <w:lang w:val="en-US"/>
              </w:rPr>
            </w:pPr>
            <w:r w:rsidRPr="003C2D81">
              <w:rPr>
                <w:sz w:val="24"/>
                <w:lang w:val="en-US"/>
              </w:rPr>
              <w:t>2. The number of pawnshops that do not report is significantly reduced</w:t>
            </w:r>
          </w:p>
        </w:tc>
      </w:tr>
      <w:tr w:rsidR="00C3610F" w:rsidRPr="00EF22CA" w14:paraId="56397BB3" w14:textId="66543365" w:rsidTr="00B6560B">
        <w:trPr>
          <w:jc w:val="center"/>
        </w:trPr>
        <w:tc>
          <w:tcPr>
            <w:tcW w:w="1677" w:type="dxa"/>
            <w:vAlign w:val="center"/>
          </w:tcPr>
          <w:p w14:paraId="7CC9B905" w14:textId="717EEBE9" w:rsidR="003F5A19" w:rsidRPr="003F5A19" w:rsidRDefault="003C2D81" w:rsidP="003F5A19">
            <w:pPr>
              <w:spacing w:line="276" w:lineRule="auto"/>
              <w:ind w:firstLine="0"/>
              <w:jc w:val="center"/>
              <w:rPr>
                <w:sz w:val="24"/>
              </w:rPr>
            </w:pPr>
            <w:r w:rsidRPr="003C2D81">
              <w:rPr>
                <w:sz w:val="24"/>
              </w:rPr>
              <w:t>Encashment</w:t>
            </w:r>
          </w:p>
        </w:tc>
        <w:tc>
          <w:tcPr>
            <w:tcW w:w="2150" w:type="dxa"/>
            <w:vAlign w:val="center"/>
          </w:tcPr>
          <w:p w14:paraId="61CBDFAA" w14:textId="7D7789D9" w:rsidR="003F5A19" w:rsidRPr="003F5A19" w:rsidRDefault="003C2D81" w:rsidP="003F5A19">
            <w:pPr>
              <w:spacing w:line="276" w:lineRule="auto"/>
              <w:ind w:firstLine="0"/>
              <w:jc w:val="center"/>
              <w:rPr>
                <w:sz w:val="24"/>
              </w:rPr>
            </w:pPr>
            <w:r w:rsidRPr="003C2D81">
              <w:rPr>
                <w:sz w:val="24"/>
              </w:rPr>
              <w:t>Required</w:t>
            </w:r>
          </w:p>
        </w:tc>
        <w:tc>
          <w:tcPr>
            <w:tcW w:w="2006" w:type="dxa"/>
            <w:vAlign w:val="center"/>
          </w:tcPr>
          <w:p w14:paraId="6550577E" w14:textId="343A5A7D" w:rsidR="003F5A19" w:rsidRPr="003C2D81" w:rsidRDefault="003C2D81" w:rsidP="003F5A19">
            <w:pPr>
              <w:spacing w:line="276" w:lineRule="auto"/>
              <w:ind w:firstLine="0"/>
              <w:jc w:val="center"/>
              <w:rPr>
                <w:sz w:val="24"/>
                <w:lang w:val="en-US"/>
              </w:rPr>
            </w:pPr>
            <w:r w:rsidRPr="003C2D81">
              <w:rPr>
                <w:sz w:val="24"/>
                <w:lang w:val="en-US"/>
              </w:rPr>
              <w:t>Optional, but extended cash flow statements are required</w:t>
            </w:r>
          </w:p>
        </w:tc>
        <w:tc>
          <w:tcPr>
            <w:tcW w:w="3795" w:type="dxa"/>
          </w:tcPr>
          <w:p w14:paraId="62F347D8" w14:textId="77777777" w:rsidR="003C2D81" w:rsidRPr="003C2D81" w:rsidRDefault="003C2D81" w:rsidP="00804831">
            <w:pPr>
              <w:pStyle w:val="ab"/>
              <w:spacing w:line="276" w:lineRule="auto"/>
              <w:ind w:left="0" w:firstLine="0"/>
              <w:jc w:val="left"/>
              <w:rPr>
                <w:sz w:val="24"/>
                <w:lang w:val="en-US"/>
              </w:rPr>
            </w:pPr>
            <w:r w:rsidRPr="003C2D81">
              <w:rPr>
                <w:sz w:val="24"/>
                <w:lang w:val="en-US"/>
              </w:rPr>
              <w:t>1. For small and medium-sized companies this is an unreasonable waste, since they do not have large amounts of cash</w:t>
            </w:r>
          </w:p>
          <w:p w14:paraId="75621E82" w14:textId="77777777" w:rsidR="003C2D81" w:rsidRDefault="003C2D81" w:rsidP="00804831">
            <w:pPr>
              <w:pStyle w:val="ab"/>
              <w:spacing w:line="276" w:lineRule="auto"/>
              <w:ind w:left="0" w:firstLine="0"/>
              <w:jc w:val="left"/>
              <w:rPr>
                <w:sz w:val="24"/>
                <w:lang w:val="en-US"/>
              </w:rPr>
            </w:pPr>
            <w:r w:rsidRPr="003C2D81">
              <w:rPr>
                <w:sz w:val="24"/>
                <w:lang w:val="en-US"/>
              </w:rPr>
              <w:t>2. Expanded reporting will allow the Central Bank</w:t>
            </w:r>
            <w:r>
              <w:rPr>
                <w:sz w:val="24"/>
                <w:lang w:val="en-US"/>
              </w:rPr>
              <w:t xml:space="preserve"> to track and control cash flow</w:t>
            </w:r>
          </w:p>
          <w:p w14:paraId="47449EA8" w14:textId="1CAF2E34" w:rsidR="003C2D81" w:rsidRPr="00804831" w:rsidRDefault="003C2D81" w:rsidP="00804831">
            <w:pPr>
              <w:pStyle w:val="ab"/>
              <w:spacing w:line="276" w:lineRule="auto"/>
              <w:ind w:left="0" w:firstLine="0"/>
              <w:jc w:val="left"/>
              <w:rPr>
                <w:sz w:val="24"/>
                <w:lang w:val="en-US"/>
              </w:rPr>
            </w:pPr>
            <w:r>
              <w:rPr>
                <w:sz w:val="24"/>
                <w:lang w:val="en-US"/>
              </w:rPr>
              <w:t xml:space="preserve">3. </w:t>
            </w:r>
            <w:r w:rsidRPr="003C2D81">
              <w:rPr>
                <w:sz w:val="24"/>
                <w:lang w:val="en-US"/>
              </w:rPr>
              <w:t>Pawnshops will be more responsible for meeting these conditions, since reporting requires less expenditure than daily collection</w:t>
            </w:r>
            <w:r w:rsidR="003311F4" w:rsidRPr="003C2D81">
              <w:rPr>
                <w:sz w:val="24"/>
                <w:lang w:val="en-US"/>
              </w:rPr>
              <w:t xml:space="preserve"> </w:t>
            </w:r>
          </w:p>
        </w:tc>
      </w:tr>
      <w:tr w:rsidR="00C3610F" w:rsidRPr="00EF22CA" w14:paraId="421D9F87" w14:textId="2E875B43" w:rsidTr="00B6560B">
        <w:trPr>
          <w:jc w:val="center"/>
        </w:trPr>
        <w:tc>
          <w:tcPr>
            <w:tcW w:w="1677" w:type="dxa"/>
            <w:vAlign w:val="center"/>
          </w:tcPr>
          <w:p w14:paraId="764B76B0" w14:textId="7867F435" w:rsidR="003F5A19" w:rsidRPr="003C2D81" w:rsidRDefault="00804831" w:rsidP="003F5A19">
            <w:pPr>
              <w:spacing w:line="276" w:lineRule="auto"/>
              <w:ind w:firstLine="0"/>
              <w:jc w:val="center"/>
              <w:rPr>
                <w:sz w:val="24"/>
                <w:lang w:val="en-US"/>
              </w:rPr>
            </w:pPr>
            <w:r>
              <w:rPr>
                <w:sz w:val="24"/>
                <w:lang w:val="en-US"/>
              </w:rPr>
              <w:t>PVC in the field of AML/</w:t>
            </w:r>
            <w:r w:rsidR="003C2D81" w:rsidRPr="003C2D81">
              <w:rPr>
                <w:sz w:val="24"/>
                <w:lang w:val="en-US"/>
              </w:rPr>
              <w:t>CFT</w:t>
            </w:r>
          </w:p>
        </w:tc>
        <w:tc>
          <w:tcPr>
            <w:tcW w:w="2150" w:type="dxa"/>
            <w:vAlign w:val="center"/>
          </w:tcPr>
          <w:p w14:paraId="48153705" w14:textId="62CB4A8B" w:rsidR="003F5A19" w:rsidRPr="003C2D81" w:rsidRDefault="003C2D81" w:rsidP="003F5A19">
            <w:pPr>
              <w:spacing w:line="276" w:lineRule="auto"/>
              <w:ind w:firstLine="0"/>
              <w:jc w:val="center"/>
              <w:rPr>
                <w:sz w:val="24"/>
                <w:lang w:val="en-US"/>
              </w:rPr>
            </w:pPr>
            <w:r w:rsidRPr="003C2D81">
              <w:rPr>
                <w:sz w:val="24"/>
                <w:lang w:val="en-US"/>
              </w:rPr>
              <w:t>The same system for pawnshops of any size</w:t>
            </w:r>
          </w:p>
        </w:tc>
        <w:tc>
          <w:tcPr>
            <w:tcW w:w="2006" w:type="dxa"/>
            <w:vAlign w:val="center"/>
          </w:tcPr>
          <w:p w14:paraId="70ECA909" w14:textId="126EFC68" w:rsidR="003F5A19" w:rsidRPr="003C2D81" w:rsidRDefault="003C2D81" w:rsidP="003F5A19">
            <w:pPr>
              <w:spacing w:line="276" w:lineRule="auto"/>
              <w:ind w:firstLine="0"/>
              <w:jc w:val="center"/>
              <w:rPr>
                <w:sz w:val="24"/>
                <w:lang w:val="en-US"/>
              </w:rPr>
            </w:pPr>
            <w:r w:rsidRPr="003C2D81">
              <w:rPr>
                <w:sz w:val="24"/>
                <w:lang w:val="en-US"/>
              </w:rPr>
              <w:t>It is necessary to create an individual simplified methodology for conducting internal control</w:t>
            </w:r>
          </w:p>
        </w:tc>
        <w:tc>
          <w:tcPr>
            <w:tcW w:w="3795" w:type="dxa"/>
          </w:tcPr>
          <w:p w14:paraId="6F946C38" w14:textId="34BA35F3" w:rsidR="003C2D81" w:rsidRPr="003C2D81" w:rsidRDefault="003C2D81" w:rsidP="00804831">
            <w:pPr>
              <w:pStyle w:val="ab"/>
              <w:spacing w:line="276" w:lineRule="auto"/>
              <w:ind w:left="0" w:firstLine="0"/>
              <w:jc w:val="left"/>
              <w:rPr>
                <w:sz w:val="24"/>
                <w:lang w:val="en-US"/>
              </w:rPr>
            </w:pPr>
            <w:r w:rsidRPr="003C2D81">
              <w:rPr>
                <w:sz w:val="24"/>
                <w:lang w:val="en-US"/>
              </w:rPr>
              <w:t>1. Small and medium-sized paw</w:t>
            </w:r>
            <w:r w:rsidR="00804831">
              <w:rPr>
                <w:sz w:val="24"/>
                <w:lang w:val="en-US"/>
              </w:rPr>
              <w:t>nshops can</w:t>
            </w:r>
            <w:r w:rsidRPr="003C2D81">
              <w:rPr>
                <w:sz w:val="24"/>
                <w:lang w:val="en-US"/>
              </w:rPr>
              <w:t>not fully implement IVF due to insufficient funds, so it is easier for them to pay fines</w:t>
            </w:r>
          </w:p>
          <w:p w14:paraId="19C4F714" w14:textId="2C089742" w:rsidR="00787848" w:rsidRPr="003C2D81" w:rsidRDefault="003C2D81" w:rsidP="00804831">
            <w:pPr>
              <w:pStyle w:val="ab"/>
              <w:spacing w:line="276" w:lineRule="auto"/>
              <w:ind w:left="0" w:firstLine="0"/>
              <w:jc w:val="left"/>
              <w:rPr>
                <w:sz w:val="24"/>
                <w:lang w:val="en-US"/>
              </w:rPr>
            </w:pPr>
            <w:r w:rsidRPr="003C2D81">
              <w:rPr>
                <w:sz w:val="24"/>
                <w:lang w:val="en-US"/>
              </w:rPr>
              <w:t xml:space="preserve">2. Pawnshops will carry out all ICR in AML / CFT sphere, which means that the state will be able to minimize the risks of involving </w:t>
            </w:r>
            <w:r w:rsidRPr="003C2D81">
              <w:rPr>
                <w:sz w:val="24"/>
                <w:lang w:val="en-US"/>
              </w:rPr>
              <w:lastRenderedPageBreak/>
              <w:t>organizations in illegal activities</w:t>
            </w:r>
          </w:p>
        </w:tc>
      </w:tr>
      <w:tr w:rsidR="00C3610F" w:rsidRPr="00EF22CA" w14:paraId="4AFCAB7E" w14:textId="344776A9" w:rsidTr="00B6560B">
        <w:trPr>
          <w:jc w:val="center"/>
        </w:trPr>
        <w:tc>
          <w:tcPr>
            <w:tcW w:w="1677" w:type="dxa"/>
            <w:vAlign w:val="center"/>
          </w:tcPr>
          <w:p w14:paraId="057DCF32" w14:textId="11300D1A" w:rsidR="003F5A19" w:rsidRPr="003F5A19" w:rsidRDefault="003C2D81" w:rsidP="003F5A19">
            <w:pPr>
              <w:spacing w:line="276" w:lineRule="auto"/>
              <w:ind w:firstLine="0"/>
              <w:jc w:val="center"/>
              <w:rPr>
                <w:sz w:val="24"/>
              </w:rPr>
            </w:pPr>
            <w:r w:rsidRPr="003C2D81">
              <w:rPr>
                <w:sz w:val="24"/>
              </w:rPr>
              <w:lastRenderedPageBreak/>
              <w:t>List of activities</w:t>
            </w:r>
          </w:p>
        </w:tc>
        <w:tc>
          <w:tcPr>
            <w:tcW w:w="2150" w:type="dxa"/>
            <w:vAlign w:val="center"/>
          </w:tcPr>
          <w:p w14:paraId="596762C9" w14:textId="77777777" w:rsidR="003C2D81" w:rsidRPr="001230E5" w:rsidRDefault="003C2D81" w:rsidP="003C2D81">
            <w:pPr>
              <w:spacing w:line="276" w:lineRule="auto"/>
              <w:ind w:firstLine="0"/>
              <w:jc w:val="center"/>
              <w:rPr>
                <w:sz w:val="24"/>
                <w:lang w:val="en-US"/>
              </w:rPr>
            </w:pPr>
            <w:r w:rsidRPr="001230E5">
              <w:rPr>
                <w:sz w:val="24"/>
                <w:lang w:val="en-US"/>
              </w:rPr>
              <w:t>Limited</w:t>
            </w:r>
          </w:p>
          <w:p w14:paraId="468259C6" w14:textId="6E459481" w:rsidR="00C3610F" w:rsidRPr="003C2D81" w:rsidRDefault="003C2D81" w:rsidP="003C2D81">
            <w:pPr>
              <w:spacing w:line="276" w:lineRule="auto"/>
              <w:ind w:firstLine="0"/>
              <w:jc w:val="center"/>
              <w:rPr>
                <w:sz w:val="24"/>
                <w:lang w:val="en-US"/>
              </w:rPr>
            </w:pPr>
            <w:r w:rsidRPr="003C2D81">
              <w:rPr>
                <w:sz w:val="24"/>
                <w:lang w:val="en-US"/>
              </w:rPr>
              <w:t>(provision of short-term loans secured by valuables, provision of storage services, consulting and information services)</w:t>
            </w:r>
          </w:p>
        </w:tc>
        <w:tc>
          <w:tcPr>
            <w:tcW w:w="2006" w:type="dxa"/>
            <w:vAlign w:val="center"/>
          </w:tcPr>
          <w:p w14:paraId="73C857B6" w14:textId="77777777" w:rsidR="00526918" w:rsidRPr="00804831" w:rsidRDefault="00526918" w:rsidP="00804831">
            <w:pPr>
              <w:spacing w:line="276" w:lineRule="auto"/>
              <w:ind w:firstLine="0"/>
              <w:jc w:val="left"/>
              <w:rPr>
                <w:sz w:val="24"/>
                <w:lang w:val="en-US"/>
              </w:rPr>
            </w:pPr>
            <w:r w:rsidRPr="00804831">
              <w:rPr>
                <w:sz w:val="24"/>
                <w:lang w:val="en-US"/>
              </w:rPr>
              <w:t>It is necessary to add:</w:t>
            </w:r>
          </w:p>
          <w:p w14:paraId="67D9C751" w14:textId="77777777" w:rsidR="00526918" w:rsidRPr="00526918" w:rsidRDefault="00526918" w:rsidP="00804831">
            <w:pPr>
              <w:pStyle w:val="ab"/>
              <w:spacing w:line="276" w:lineRule="auto"/>
              <w:ind w:left="0" w:firstLine="0"/>
              <w:jc w:val="left"/>
              <w:rPr>
                <w:sz w:val="24"/>
                <w:lang w:val="en-US"/>
              </w:rPr>
            </w:pPr>
            <w:r w:rsidRPr="00526918">
              <w:rPr>
                <w:sz w:val="24"/>
                <w:lang w:val="en-US"/>
              </w:rPr>
              <w:t>1. renting of premises or safe boxes for rent</w:t>
            </w:r>
          </w:p>
          <w:p w14:paraId="28C06557" w14:textId="77777777" w:rsidR="00526918" w:rsidRPr="00526918" w:rsidRDefault="00526918" w:rsidP="00804831">
            <w:pPr>
              <w:pStyle w:val="ab"/>
              <w:spacing w:line="276" w:lineRule="auto"/>
              <w:ind w:left="0" w:firstLine="0"/>
              <w:jc w:val="left"/>
              <w:rPr>
                <w:sz w:val="24"/>
                <w:lang w:val="en-US"/>
              </w:rPr>
            </w:pPr>
            <w:r w:rsidRPr="00526918">
              <w:rPr>
                <w:sz w:val="24"/>
                <w:lang w:val="en-US"/>
              </w:rPr>
              <w:t>2. provision of agency services (sale of insurance and money transfers)</w:t>
            </w:r>
          </w:p>
          <w:p w14:paraId="11BAEC01" w14:textId="59FD5431" w:rsidR="00F919B6" w:rsidRPr="00526918" w:rsidRDefault="00526918" w:rsidP="005A78A2">
            <w:pPr>
              <w:pStyle w:val="ab"/>
              <w:spacing w:line="276" w:lineRule="auto"/>
              <w:ind w:left="0" w:firstLine="0"/>
              <w:jc w:val="left"/>
              <w:rPr>
                <w:sz w:val="24"/>
                <w:lang w:val="en-US"/>
              </w:rPr>
            </w:pPr>
            <w:r>
              <w:rPr>
                <w:sz w:val="24"/>
                <w:lang w:val="en-US"/>
              </w:rPr>
              <w:t xml:space="preserve">3. </w:t>
            </w:r>
            <w:r w:rsidRPr="00526918">
              <w:rPr>
                <w:sz w:val="24"/>
                <w:lang w:val="en-US"/>
              </w:rPr>
              <w:t>the operation of deposits up to 500</w:t>
            </w:r>
            <w:r w:rsidR="005A78A2">
              <w:rPr>
                <w:sz w:val="24"/>
                <w:lang w:val="en-US"/>
              </w:rPr>
              <w:t>,</w:t>
            </w:r>
            <w:r w:rsidRPr="00526918">
              <w:rPr>
                <w:sz w:val="24"/>
                <w:lang w:val="en-US"/>
              </w:rPr>
              <w:t>000 rubles.</w:t>
            </w:r>
          </w:p>
        </w:tc>
        <w:tc>
          <w:tcPr>
            <w:tcW w:w="3795" w:type="dxa"/>
          </w:tcPr>
          <w:p w14:paraId="3B9C87CF" w14:textId="77777777" w:rsidR="00526918" w:rsidRPr="00526918" w:rsidRDefault="00526918" w:rsidP="00804831">
            <w:pPr>
              <w:pStyle w:val="ab"/>
              <w:spacing w:line="276" w:lineRule="auto"/>
              <w:ind w:left="0" w:firstLine="0"/>
              <w:jc w:val="left"/>
              <w:rPr>
                <w:sz w:val="24"/>
                <w:lang w:val="en-US"/>
              </w:rPr>
            </w:pPr>
            <w:r w:rsidRPr="00526918">
              <w:rPr>
                <w:sz w:val="24"/>
                <w:lang w:val="en-US"/>
              </w:rPr>
              <w:t>1. Expanding pawnshop operations will allow the CBR to strengthen control over their activities through the introduction of additional reporting</w:t>
            </w:r>
          </w:p>
          <w:p w14:paraId="7F12E910" w14:textId="77777777" w:rsidR="00526918" w:rsidRPr="00526918" w:rsidRDefault="00526918" w:rsidP="00804831">
            <w:pPr>
              <w:pStyle w:val="ab"/>
              <w:spacing w:line="276" w:lineRule="auto"/>
              <w:ind w:left="0" w:firstLine="0"/>
              <w:jc w:val="left"/>
              <w:rPr>
                <w:sz w:val="24"/>
                <w:lang w:val="en-US"/>
              </w:rPr>
            </w:pPr>
            <w:r w:rsidRPr="00526918">
              <w:rPr>
                <w:sz w:val="24"/>
                <w:lang w:val="en-US"/>
              </w:rPr>
              <w:t>2. Additional services are needed to attract new players to the industry</w:t>
            </w:r>
          </w:p>
          <w:p w14:paraId="349FF44E" w14:textId="17C841C6" w:rsidR="00DB3683" w:rsidRPr="00526918" w:rsidRDefault="00526918" w:rsidP="00804831">
            <w:pPr>
              <w:pStyle w:val="ab"/>
              <w:spacing w:line="276" w:lineRule="auto"/>
              <w:ind w:left="0" w:firstLine="0"/>
              <w:jc w:val="left"/>
              <w:rPr>
                <w:sz w:val="24"/>
                <w:lang w:val="en-US"/>
              </w:rPr>
            </w:pPr>
            <w:r>
              <w:rPr>
                <w:sz w:val="24"/>
                <w:lang w:val="en-US"/>
              </w:rPr>
              <w:t xml:space="preserve">3. </w:t>
            </w:r>
            <w:r w:rsidRPr="00526918">
              <w:rPr>
                <w:sz w:val="24"/>
                <w:lang w:val="en-US"/>
              </w:rPr>
              <w:t>Expansion of activities will reduce the number of pawnshops operating in the shade, as it will be difficult for them to hide their activities</w:t>
            </w:r>
          </w:p>
        </w:tc>
      </w:tr>
    </w:tbl>
    <w:p w14:paraId="33654CC4" w14:textId="77777777" w:rsidR="007819A3" w:rsidRPr="00CB0BDA" w:rsidRDefault="007819A3" w:rsidP="00244E76">
      <w:pPr>
        <w:spacing w:line="240" w:lineRule="auto"/>
        <w:ind w:firstLine="0"/>
        <w:rPr>
          <w:lang w:val="en-US"/>
        </w:rPr>
      </w:pPr>
    </w:p>
    <w:p w14:paraId="0F23B7B2" w14:textId="143F82F1" w:rsidR="004E0DE2" w:rsidRPr="001230E5" w:rsidRDefault="00526918" w:rsidP="001230E5">
      <w:pPr>
        <w:spacing w:after="240" w:line="240" w:lineRule="auto"/>
        <w:ind w:firstLine="0"/>
        <w:rPr>
          <w:b/>
          <w:lang w:val="en-US"/>
        </w:rPr>
      </w:pPr>
      <w:r w:rsidRPr="001230E5">
        <w:rPr>
          <w:b/>
          <w:lang w:val="en-US"/>
        </w:rPr>
        <w:t>Conclusion</w:t>
      </w:r>
    </w:p>
    <w:p w14:paraId="3E17C321" w14:textId="6293B4D4" w:rsidR="00B03115" w:rsidRPr="00526918" w:rsidRDefault="00526918" w:rsidP="005A78A2">
      <w:pPr>
        <w:ind w:firstLine="0"/>
        <w:rPr>
          <w:lang w:val="en-US"/>
        </w:rPr>
      </w:pPr>
      <w:r w:rsidRPr="00526918">
        <w:rPr>
          <w:lang w:val="en-US"/>
        </w:rPr>
        <w:t xml:space="preserve">Today, the methods for regulating pawnshop operations are imperfect, which </w:t>
      </w:r>
      <w:r w:rsidR="005A78A2">
        <w:rPr>
          <w:lang w:val="en-US"/>
        </w:rPr>
        <w:t xml:space="preserve">leads to an </w:t>
      </w:r>
      <w:r w:rsidRPr="00526918">
        <w:rPr>
          <w:lang w:val="en-US"/>
        </w:rPr>
        <w:t>increase</w:t>
      </w:r>
      <w:r w:rsidR="005A78A2">
        <w:rPr>
          <w:lang w:val="en-US"/>
        </w:rPr>
        <w:t xml:space="preserve"> in</w:t>
      </w:r>
      <w:r w:rsidRPr="00526918">
        <w:rPr>
          <w:lang w:val="en-US"/>
        </w:rPr>
        <w:t xml:space="preserve"> the number of organizations working in the informal sector every year. That is why the Central Bank of the Russian Federation </w:t>
      </w:r>
      <w:r w:rsidR="005A78A2">
        <w:rPr>
          <w:lang w:val="en-US"/>
        </w:rPr>
        <w:t xml:space="preserve">has taken </w:t>
      </w:r>
      <w:r w:rsidRPr="00526918">
        <w:rPr>
          <w:lang w:val="en-US"/>
        </w:rPr>
        <w:t xml:space="preserve">thought about the modernization of these methods and the </w:t>
      </w:r>
      <w:r w:rsidR="005A78A2">
        <w:rPr>
          <w:lang w:val="en-US"/>
        </w:rPr>
        <w:t>easing</w:t>
      </w:r>
      <w:r w:rsidRPr="00526918">
        <w:rPr>
          <w:lang w:val="en-US"/>
        </w:rPr>
        <w:t xml:space="preserve"> of conditions for regulating pawnshop operations</w:t>
      </w:r>
      <w:r w:rsidR="00F47428" w:rsidRPr="00526918">
        <w:rPr>
          <w:lang w:val="en-US"/>
        </w:rPr>
        <w:t xml:space="preserve">. </w:t>
      </w:r>
    </w:p>
    <w:p w14:paraId="288362D1" w14:textId="1B02BD26" w:rsidR="00F47428" w:rsidRPr="00526918" w:rsidRDefault="00526918" w:rsidP="005A78A2">
      <w:pPr>
        <w:ind w:firstLine="0"/>
        <w:rPr>
          <w:lang w:val="en-US"/>
        </w:rPr>
      </w:pPr>
      <w:r w:rsidRPr="00526918">
        <w:rPr>
          <w:lang w:val="en-US"/>
        </w:rPr>
        <w:t xml:space="preserve">After the expert evaluation of the effectiveness of the existing methods for regulating the </w:t>
      </w:r>
      <w:r w:rsidR="005A78A2">
        <w:rPr>
          <w:lang w:val="en-US"/>
        </w:rPr>
        <w:t>operation</w:t>
      </w:r>
      <w:r w:rsidRPr="00526918">
        <w:rPr>
          <w:lang w:val="en-US"/>
        </w:rPr>
        <w:t xml:space="preserve"> of pawnshops, some of them were modernized, which would allow not only pawnshops to increase the profitability of their activities, but also the state to exercise more effective control over pawnshops, </w:t>
      </w:r>
      <w:r w:rsidR="005A78A2">
        <w:rPr>
          <w:lang w:val="en-US"/>
        </w:rPr>
        <w:t>as well as</w:t>
      </w:r>
      <w:r w:rsidRPr="00526918">
        <w:rPr>
          <w:lang w:val="en-US"/>
        </w:rPr>
        <w:t xml:space="preserve"> to minimize the number of organizations working in the shade [8, p. 13]</w:t>
      </w:r>
      <w:r w:rsidR="00590681" w:rsidRPr="00526918">
        <w:rPr>
          <w:lang w:val="en-US"/>
        </w:rPr>
        <w:t>.</w:t>
      </w:r>
    </w:p>
    <w:p w14:paraId="6062BBE0" w14:textId="554903C1" w:rsidR="003A065D" w:rsidRPr="00526918" w:rsidRDefault="003A065D" w:rsidP="00804831">
      <w:pPr>
        <w:spacing w:line="240" w:lineRule="auto"/>
        <w:ind w:firstLine="0"/>
        <w:rPr>
          <w:lang w:val="en-US"/>
        </w:rPr>
      </w:pPr>
    </w:p>
    <w:p w14:paraId="429C97A1" w14:textId="531F1446" w:rsidR="003A065D" w:rsidRDefault="00804831" w:rsidP="001230E5">
      <w:pPr>
        <w:ind w:firstLine="142"/>
        <w:rPr>
          <w:b/>
        </w:rPr>
      </w:pPr>
      <w:r>
        <w:rPr>
          <w:b/>
          <w:lang w:val="en-US"/>
        </w:rPr>
        <w:t>Refe</w:t>
      </w:r>
      <w:r w:rsidR="005A78A2">
        <w:rPr>
          <w:b/>
          <w:lang w:val="en-US"/>
        </w:rPr>
        <w:t>re</w:t>
      </w:r>
      <w:r>
        <w:rPr>
          <w:b/>
          <w:lang w:val="en-US"/>
        </w:rPr>
        <w:t>nces</w:t>
      </w:r>
    </w:p>
    <w:p w14:paraId="1CE3F2C2" w14:textId="77777777" w:rsidR="00244E76" w:rsidRPr="00244E76" w:rsidRDefault="00244E76" w:rsidP="001230E5">
      <w:pPr>
        <w:ind w:firstLine="142"/>
        <w:rPr>
          <w:b/>
        </w:rPr>
      </w:pPr>
    </w:p>
    <w:p w14:paraId="1DC2FA3E" w14:textId="74E50A70" w:rsidR="00B80E46" w:rsidRPr="00526918" w:rsidRDefault="00526918" w:rsidP="001230E5">
      <w:pPr>
        <w:pStyle w:val="ab"/>
        <w:numPr>
          <w:ilvl w:val="0"/>
          <w:numId w:val="15"/>
        </w:numPr>
        <w:rPr>
          <w:lang w:val="en-US"/>
        </w:rPr>
      </w:pPr>
      <w:r w:rsidRPr="00526918">
        <w:rPr>
          <w:lang w:val="en-US"/>
        </w:rPr>
        <w:t>Ponomarev K</w:t>
      </w:r>
      <w:r w:rsidR="00804831">
        <w:rPr>
          <w:lang w:val="en-US"/>
        </w:rPr>
        <w:t>.</w:t>
      </w:r>
      <w:r w:rsidRPr="00526918">
        <w:rPr>
          <w:lang w:val="en-US"/>
        </w:rPr>
        <w:t>B</w:t>
      </w:r>
      <w:r w:rsidR="00804831">
        <w:rPr>
          <w:lang w:val="en-US"/>
        </w:rPr>
        <w:t>.</w:t>
      </w:r>
      <w:r w:rsidRPr="00526918">
        <w:rPr>
          <w:lang w:val="en-US"/>
        </w:rPr>
        <w:t xml:space="preserve"> On the organization of the i</w:t>
      </w:r>
      <w:r w:rsidR="004A6168">
        <w:rPr>
          <w:lang w:val="en-US"/>
        </w:rPr>
        <w:t>nternal control system on AML/</w:t>
      </w:r>
      <w:r w:rsidRPr="00526918">
        <w:rPr>
          <w:lang w:val="en-US"/>
        </w:rPr>
        <w:t>CFT in the NFR under the current legislation // Finances of Bashkortostan. - №1. - 2014 - P. 82-84</w:t>
      </w:r>
      <w:r w:rsidR="004222F7" w:rsidRPr="00526918">
        <w:rPr>
          <w:lang w:val="en-US"/>
        </w:rPr>
        <w:t>.</w:t>
      </w:r>
    </w:p>
    <w:p w14:paraId="0C1FE960" w14:textId="00D477D6" w:rsidR="00100E21" w:rsidRPr="00526918" w:rsidRDefault="00526918" w:rsidP="00244E76">
      <w:pPr>
        <w:pStyle w:val="ab"/>
        <w:numPr>
          <w:ilvl w:val="0"/>
          <w:numId w:val="15"/>
        </w:numPr>
        <w:rPr>
          <w:szCs w:val="28"/>
          <w:lang w:val="en-US"/>
        </w:rPr>
      </w:pPr>
      <w:r w:rsidRPr="00526918">
        <w:rPr>
          <w:lang w:val="en-US"/>
        </w:rPr>
        <w:t>The Central Bank took up the pawnshops: how the ind</w:t>
      </w:r>
      <w:r w:rsidR="00804831">
        <w:rPr>
          <w:lang w:val="en-US"/>
        </w:rPr>
        <w:t xml:space="preserve">ustry is cleaned from dishonest </w:t>
      </w:r>
      <w:r w:rsidRPr="00526918">
        <w:rPr>
          <w:lang w:val="en-US"/>
        </w:rPr>
        <w:t>players URL: http://www.rbc.ru/finances/22/08/2016</w:t>
      </w:r>
      <w:r w:rsidR="004A6168">
        <w:rPr>
          <w:lang w:val="en-US"/>
        </w:rPr>
        <w:t xml:space="preserve"> </w:t>
      </w:r>
      <w:r w:rsidRPr="00526918">
        <w:rPr>
          <w:lang w:val="en-US"/>
        </w:rPr>
        <w:t>/57b</w:t>
      </w:r>
      <w:r w:rsidR="00804831">
        <w:rPr>
          <w:lang w:val="en-US"/>
        </w:rPr>
        <w:t>b23ec9a7947f015502a8a (</w:t>
      </w:r>
      <w:r w:rsidR="00244E76" w:rsidRPr="00244E76">
        <w:rPr>
          <w:lang w:val="en-US"/>
        </w:rPr>
        <w:t xml:space="preserve">date of the application </w:t>
      </w:r>
      <w:r w:rsidR="00244E76">
        <w:rPr>
          <w:lang w:val="en-US"/>
        </w:rPr>
        <w:t>9.11.2017</w:t>
      </w:r>
      <w:r w:rsidR="00B80E46" w:rsidRPr="00526918">
        <w:rPr>
          <w:lang w:val="en-US"/>
        </w:rPr>
        <w:t>)</w:t>
      </w:r>
      <w:r w:rsidR="00100E21" w:rsidRPr="00526918">
        <w:rPr>
          <w:szCs w:val="24"/>
          <w:lang w:val="en-US"/>
        </w:rPr>
        <w:t xml:space="preserve"> </w:t>
      </w:r>
    </w:p>
    <w:p w14:paraId="7D35EDCC" w14:textId="5710AEAD" w:rsidR="00B80E46" w:rsidRPr="00526918" w:rsidRDefault="00526918" w:rsidP="00244E76">
      <w:pPr>
        <w:pStyle w:val="ab"/>
        <w:numPr>
          <w:ilvl w:val="0"/>
          <w:numId w:val="15"/>
        </w:numPr>
        <w:rPr>
          <w:szCs w:val="28"/>
          <w:lang w:val="en-US"/>
        </w:rPr>
      </w:pPr>
      <w:r w:rsidRPr="00526918">
        <w:rPr>
          <w:szCs w:val="28"/>
          <w:lang w:val="en-US"/>
        </w:rPr>
        <w:lastRenderedPageBreak/>
        <w:t>The Central Bank has prepared a number of indulgences for pawnshops. URL: https://www.vedomosti.ru/finance/articles/2017/01/09/672140-tsentrobank-poslablenii-lombardov (</w:t>
      </w:r>
      <w:r w:rsidR="00244E76" w:rsidRPr="00244E76">
        <w:rPr>
          <w:szCs w:val="28"/>
          <w:lang w:val="en-US"/>
        </w:rPr>
        <w:t xml:space="preserve">date of the application </w:t>
      </w:r>
      <w:r w:rsidRPr="00526918">
        <w:rPr>
          <w:szCs w:val="28"/>
          <w:lang w:val="en-US"/>
        </w:rPr>
        <w:t>9.11.2017.</w:t>
      </w:r>
      <w:r w:rsidR="00100E21" w:rsidRPr="00526918">
        <w:rPr>
          <w:szCs w:val="28"/>
          <w:lang w:val="en-US"/>
        </w:rPr>
        <w:t>)</w:t>
      </w:r>
    </w:p>
    <w:p w14:paraId="6912F66E" w14:textId="43521DCD" w:rsidR="000B357D" w:rsidRPr="00526918" w:rsidRDefault="00526918" w:rsidP="001230E5">
      <w:pPr>
        <w:pStyle w:val="ab"/>
        <w:numPr>
          <w:ilvl w:val="0"/>
          <w:numId w:val="15"/>
        </w:numPr>
        <w:rPr>
          <w:lang w:val="en-US"/>
        </w:rPr>
      </w:pPr>
      <w:r w:rsidRPr="00526918">
        <w:rPr>
          <w:lang w:val="en-US"/>
        </w:rPr>
        <w:t>Flight into the shadows. Why 700 pawnshops have left the "white" market URL: http://ww</w:t>
      </w:r>
      <w:r w:rsidR="004A6168">
        <w:rPr>
          <w:lang w:val="en-US"/>
        </w:rPr>
        <w:t>w.jewellerynews.ru/process/news</w:t>
      </w:r>
      <w:r w:rsidRPr="00526918">
        <w:rPr>
          <w:lang w:val="en-US"/>
        </w:rPr>
        <w:t xml:space="preserve"> (Date of </w:t>
      </w:r>
      <w:r w:rsidR="00804831">
        <w:rPr>
          <w:lang w:val="en-US"/>
        </w:rPr>
        <w:t>using</w:t>
      </w:r>
      <w:r w:rsidRPr="00526918">
        <w:rPr>
          <w:lang w:val="en-US"/>
        </w:rPr>
        <w:t xml:space="preserve"> 9.11.2017.</w:t>
      </w:r>
      <w:r w:rsidR="00B80E46" w:rsidRPr="00526918">
        <w:rPr>
          <w:lang w:val="en-US"/>
        </w:rPr>
        <w:t>)</w:t>
      </w:r>
    </w:p>
    <w:p w14:paraId="58FB5AAB" w14:textId="5B912E40" w:rsidR="000B357D" w:rsidRPr="00A657D6" w:rsidRDefault="00A657D6" w:rsidP="00244E76">
      <w:pPr>
        <w:pStyle w:val="ab"/>
        <w:numPr>
          <w:ilvl w:val="0"/>
          <w:numId w:val="15"/>
        </w:numPr>
        <w:rPr>
          <w:lang w:val="en-US"/>
        </w:rPr>
      </w:pPr>
      <w:r w:rsidRPr="00A657D6">
        <w:rPr>
          <w:szCs w:val="28"/>
          <w:lang w:val="en-US"/>
        </w:rPr>
        <w:t>In Russia, a new scheme for cashing out money through pawnshops URL: https://rg.ru/2017/04/06/v-rossii-poiavilas-novaia-shema-obnalichivaniia-deneg-cherez-lombardy.html (</w:t>
      </w:r>
      <w:r w:rsidR="00244E76" w:rsidRPr="00244E76">
        <w:rPr>
          <w:szCs w:val="28"/>
          <w:lang w:val="en-US"/>
        </w:rPr>
        <w:t xml:space="preserve">date of the application </w:t>
      </w:r>
      <w:r w:rsidR="00804831">
        <w:rPr>
          <w:szCs w:val="28"/>
          <w:lang w:val="en-US"/>
        </w:rPr>
        <w:t>9.11.</w:t>
      </w:r>
      <w:r w:rsidRPr="00A657D6">
        <w:rPr>
          <w:szCs w:val="28"/>
          <w:lang w:val="en-US"/>
        </w:rPr>
        <w:t>2017</w:t>
      </w:r>
      <w:r w:rsidR="000B357D" w:rsidRPr="00A657D6">
        <w:rPr>
          <w:szCs w:val="28"/>
          <w:lang w:val="en-US"/>
        </w:rPr>
        <w:t>)</w:t>
      </w:r>
    </w:p>
    <w:p w14:paraId="065ABC67" w14:textId="71B11D7A" w:rsidR="00A656DD" w:rsidRPr="00A657D6" w:rsidRDefault="00A657D6" w:rsidP="00244E76">
      <w:pPr>
        <w:pStyle w:val="ab"/>
        <w:numPr>
          <w:ilvl w:val="0"/>
          <w:numId w:val="15"/>
        </w:numPr>
        <w:rPr>
          <w:szCs w:val="28"/>
          <w:lang w:val="en-US"/>
        </w:rPr>
      </w:pPr>
      <w:r w:rsidRPr="00A657D6">
        <w:rPr>
          <w:szCs w:val="28"/>
          <w:lang w:val="en-US"/>
        </w:rPr>
        <w:t>Ru</w:t>
      </w:r>
      <w:r w:rsidR="00804831">
        <w:rPr>
          <w:szCs w:val="28"/>
          <w:lang w:val="en-US"/>
        </w:rPr>
        <w:t>les of internal control for AML/</w:t>
      </w:r>
      <w:r w:rsidRPr="00A657D6">
        <w:rPr>
          <w:szCs w:val="28"/>
          <w:lang w:val="en-US"/>
        </w:rPr>
        <w:t>CFT purposes. URL: http://forum-lombardov.ru/viewtopic.php?t=37 (</w:t>
      </w:r>
      <w:r w:rsidR="00244E76" w:rsidRPr="00244E76">
        <w:rPr>
          <w:szCs w:val="28"/>
          <w:lang w:val="en-US"/>
        </w:rPr>
        <w:t xml:space="preserve">date of the application </w:t>
      </w:r>
      <w:r w:rsidR="00804831">
        <w:rPr>
          <w:szCs w:val="28"/>
          <w:lang w:val="en-US"/>
        </w:rPr>
        <w:t>9.11.2017</w:t>
      </w:r>
      <w:r w:rsidR="00B80E46" w:rsidRPr="00A657D6">
        <w:rPr>
          <w:szCs w:val="28"/>
          <w:lang w:val="en-US"/>
        </w:rPr>
        <w:t>)</w:t>
      </w:r>
    </w:p>
    <w:p w14:paraId="0B38DEDE" w14:textId="21B5F449" w:rsidR="00A656DD" w:rsidRPr="00A657D6" w:rsidRDefault="00A657D6" w:rsidP="00244E76">
      <w:pPr>
        <w:pStyle w:val="ab"/>
        <w:numPr>
          <w:ilvl w:val="0"/>
          <w:numId w:val="15"/>
        </w:numPr>
        <w:rPr>
          <w:szCs w:val="28"/>
          <w:lang w:val="en-US"/>
        </w:rPr>
      </w:pPr>
      <w:r w:rsidRPr="00A657D6">
        <w:rPr>
          <w:szCs w:val="28"/>
          <w:lang w:val="en-US"/>
        </w:rPr>
        <w:t>Pawnshops vs Commission: unequal battle URL: https://zaim.com/articles/lombardnyi-biznes/lombardy-vs-komissionki-neravnyy-boy/</w:t>
      </w:r>
      <w:r w:rsidR="00804831">
        <w:rPr>
          <w:szCs w:val="28"/>
          <w:lang w:val="en-US"/>
        </w:rPr>
        <w:t xml:space="preserve"> (</w:t>
      </w:r>
      <w:r w:rsidR="00244E76" w:rsidRPr="00244E76">
        <w:rPr>
          <w:szCs w:val="28"/>
          <w:lang w:val="en-US"/>
        </w:rPr>
        <w:t xml:space="preserve">date of the application </w:t>
      </w:r>
      <w:r w:rsidR="00804831">
        <w:rPr>
          <w:szCs w:val="28"/>
          <w:lang w:val="en-US"/>
        </w:rPr>
        <w:t>9.11.2017</w:t>
      </w:r>
      <w:r w:rsidR="00451822" w:rsidRPr="00A657D6">
        <w:rPr>
          <w:szCs w:val="28"/>
          <w:lang w:val="en-US"/>
        </w:rPr>
        <w:t>)</w:t>
      </w:r>
    </w:p>
    <w:p w14:paraId="0D3EF185" w14:textId="25A37F08" w:rsidR="00590681" w:rsidRPr="00A657D6" w:rsidRDefault="00A657D6" w:rsidP="001230E5">
      <w:pPr>
        <w:pStyle w:val="ab"/>
        <w:numPr>
          <w:ilvl w:val="0"/>
          <w:numId w:val="15"/>
        </w:numPr>
        <w:rPr>
          <w:szCs w:val="28"/>
          <w:lang w:val="en-US"/>
        </w:rPr>
      </w:pPr>
      <w:r w:rsidRPr="00A657D6">
        <w:rPr>
          <w:szCs w:val="28"/>
          <w:lang w:val="en-US"/>
        </w:rPr>
        <w:t>Edronova V</w:t>
      </w:r>
      <w:r w:rsidR="00804831">
        <w:rPr>
          <w:szCs w:val="28"/>
          <w:lang w:val="en-US"/>
        </w:rPr>
        <w:t>.</w:t>
      </w:r>
      <w:r w:rsidRPr="00A657D6">
        <w:rPr>
          <w:szCs w:val="28"/>
          <w:lang w:val="en-US"/>
        </w:rPr>
        <w:t>N</w:t>
      </w:r>
      <w:r w:rsidR="00804831">
        <w:rPr>
          <w:szCs w:val="28"/>
          <w:lang w:val="en-US"/>
        </w:rPr>
        <w:t>.</w:t>
      </w:r>
      <w:r w:rsidRPr="00A657D6">
        <w:rPr>
          <w:szCs w:val="28"/>
          <w:lang w:val="en-US"/>
        </w:rPr>
        <w:t xml:space="preserve"> Development of the Financial Monitoring System in the Russian Federation // National Interests: Priorities and Security. - №5. - 2016 - </w:t>
      </w:r>
      <w:r w:rsidR="004A6168">
        <w:rPr>
          <w:szCs w:val="28"/>
          <w:lang w:val="en-US"/>
        </w:rPr>
        <w:t>P</w:t>
      </w:r>
      <w:r w:rsidRPr="00A657D6">
        <w:rPr>
          <w:szCs w:val="28"/>
          <w:lang w:val="en-US"/>
        </w:rPr>
        <w:t>. 4-1</w:t>
      </w:r>
      <w:r w:rsidR="00590681" w:rsidRPr="00A657D6">
        <w:rPr>
          <w:szCs w:val="28"/>
          <w:lang w:val="en-US"/>
        </w:rPr>
        <w:t>7.</w:t>
      </w:r>
    </w:p>
    <w:p w14:paraId="4CDD7B6A" w14:textId="77777777" w:rsidR="007D6241" w:rsidRPr="00A657D6" w:rsidRDefault="007D6241" w:rsidP="00B519D7">
      <w:pPr>
        <w:rPr>
          <w:lang w:val="en-US"/>
        </w:rPr>
      </w:pPr>
    </w:p>
    <w:p w14:paraId="3ECB2962" w14:textId="54FEF7AF" w:rsidR="00575252" w:rsidRPr="00BF0933" w:rsidRDefault="00575252" w:rsidP="00BF0933">
      <w:pPr>
        <w:tabs>
          <w:tab w:val="left" w:pos="8505"/>
        </w:tabs>
        <w:ind w:right="-2" w:firstLine="0"/>
        <w:rPr>
          <w:lang w:val="en-US"/>
        </w:rPr>
      </w:pPr>
    </w:p>
    <w:sectPr w:rsidR="00575252" w:rsidRPr="00BF0933" w:rsidSect="00814820">
      <w:footerReference w:type="default" r:id="rId9"/>
      <w:footnotePr>
        <w:numRestart w:val="eachPage"/>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5C2BD" w14:textId="77777777" w:rsidR="009E1DAF" w:rsidRDefault="009E1DAF" w:rsidP="00AA74E4">
      <w:pPr>
        <w:spacing w:line="240" w:lineRule="auto"/>
      </w:pPr>
      <w:r>
        <w:separator/>
      </w:r>
    </w:p>
  </w:endnote>
  <w:endnote w:type="continuationSeparator" w:id="0">
    <w:p w14:paraId="594809B8" w14:textId="77777777" w:rsidR="009E1DAF" w:rsidRDefault="009E1DAF" w:rsidP="00AA74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837909"/>
      <w:docPartObj>
        <w:docPartGallery w:val="Page Numbers (Bottom of Page)"/>
        <w:docPartUnique/>
      </w:docPartObj>
    </w:sdtPr>
    <w:sdtEndPr/>
    <w:sdtContent>
      <w:p w14:paraId="3F418FE6" w14:textId="28D7DDDF" w:rsidR="00D33F04" w:rsidRDefault="00D33F04" w:rsidP="00451FEF">
        <w:pPr>
          <w:pStyle w:val="a9"/>
          <w:ind w:firstLine="0"/>
          <w:jc w:val="center"/>
        </w:pPr>
        <w:r>
          <w:fldChar w:fldCharType="begin"/>
        </w:r>
        <w:r>
          <w:instrText>PAGE   \* MERGEFORMAT</w:instrText>
        </w:r>
        <w:r>
          <w:fldChar w:fldCharType="separate"/>
        </w:r>
        <w:r w:rsidR="00EF22CA">
          <w:rPr>
            <w:noProof/>
          </w:rPr>
          <w:t>4</w:t>
        </w:r>
        <w:r>
          <w:fldChar w:fldCharType="end"/>
        </w:r>
      </w:p>
    </w:sdtContent>
  </w:sdt>
  <w:p w14:paraId="7C754C77" w14:textId="77777777" w:rsidR="00D33F04" w:rsidRDefault="00D33F0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E317A" w14:textId="77777777" w:rsidR="009E1DAF" w:rsidRDefault="009E1DAF" w:rsidP="00AA74E4">
      <w:pPr>
        <w:spacing w:line="240" w:lineRule="auto"/>
      </w:pPr>
      <w:r>
        <w:separator/>
      </w:r>
    </w:p>
  </w:footnote>
  <w:footnote w:type="continuationSeparator" w:id="0">
    <w:p w14:paraId="3E1E24AB" w14:textId="77777777" w:rsidR="009E1DAF" w:rsidRDefault="009E1DAF" w:rsidP="00AA74E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126B0"/>
    <w:multiLevelType w:val="hybridMultilevel"/>
    <w:tmpl w:val="36CEE280"/>
    <w:lvl w:ilvl="0" w:tplc="5F469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DE149C"/>
    <w:multiLevelType w:val="hybridMultilevel"/>
    <w:tmpl w:val="28AEF942"/>
    <w:lvl w:ilvl="0" w:tplc="E090B1D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D235C"/>
    <w:multiLevelType w:val="hybridMultilevel"/>
    <w:tmpl w:val="831A12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A217D1"/>
    <w:multiLevelType w:val="hybridMultilevel"/>
    <w:tmpl w:val="D41827DE"/>
    <w:lvl w:ilvl="0" w:tplc="C486F9D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2078F5"/>
    <w:multiLevelType w:val="hybridMultilevel"/>
    <w:tmpl w:val="B01EE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2662CB"/>
    <w:multiLevelType w:val="hybridMultilevel"/>
    <w:tmpl w:val="9806B920"/>
    <w:lvl w:ilvl="0" w:tplc="CCD48594">
      <w:start w:val="1"/>
      <w:numFmt w:val="decimal"/>
      <w:lvlText w:val="%1."/>
      <w:lvlJc w:val="left"/>
      <w:pPr>
        <w:ind w:left="360" w:hanging="360"/>
      </w:pPr>
      <w:rPr>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CD651F"/>
    <w:multiLevelType w:val="hybridMultilevel"/>
    <w:tmpl w:val="73A62D00"/>
    <w:lvl w:ilvl="0" w:tplc="F5D8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6B214E6"/>
    <w:multiLevelType w:val="hybridMultilevel"/>
    <w:tmpl w:val="8D322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D03DB8"/>
    <w:multiLevelType w:val="hybridMultilevel"/>
    <w:tmpl w:val="ABFA0A7E"/>
    <w:lvl w:ilvl="0" w:tplc="CCD48594">
      <w:start w:val="1"/>
      <w:numFmt w:val="decimal"/>
      <w:lvlText w:val="%1."/>
      <w:lvlJc w:val="left"/>
      <w:pPr>
        <w:ind w:left="360" w:hanging="360"/>
      </w:pPr>
      <w:rPr>
        <w:sz w:val="24"/>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6CEB53E3"/>
    <w:multiLevelType w:val="hybridMultilevel"/>
    <w:tmpl w:val="831A12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D0F20F5"/>
    <w:multiLevelType w:val="hybridMultilevel"/>
    <w:tmpl w:val="432690CE"/>
    <w:lvl w:ilvl="0" w:tplc="CCD48594">
      <w:start w:val="1"/>
      <w:numFmt w:val="decimal"/>
      <w:lvlText w:val="%1."/>
      <w:lvlJc w:val="left"/>
      <w:pPr>
        <w:ind w:left="360" w:hanging="360"/>
      </w:pPr>
      <w:rPr>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DA06B8"/>
    <w:multiLevelType w:val="hybridMultilevel"/>
    <w:tmpl w:val="F2CAF310"/>
    <w:lvl w:ilvl="0" w:tplc="3B7C509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E5487F"/>
    <w:multiLevelType w:val="hybridMultilevel"/>
    <w:tmpl w:val="0BB68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916000"/>
    <w:multiLevelType w:val="hybridMultilevel"/>
    <w:tmpl w:val="6D7486BC"/>
    <w:lvl w:ilvl="0" w:tplc="CCD48594">
      <w:start w:val="1"/>
      <w:numFmt w:val="decimal"/>
      <w:lvlText w:val="%1."/>
      <w:lvlJc w:val="left"/>
      <w:pPr>
        <w:ind w:left="360" w:hanging="360"/>
      </w:pPr>
      <w:rPr>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9A2F41"/>
    <w:multiLevelType w:val="hybridMultilevel"/>
    <w:tmpl w:val="0EAC5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8"/>
  </w:num>
  <w:num w:numId="4">
    <w:abstractNumId w:val="5"/>
  </w:num>
  <w:num w:numId="5">
    <w:abstractNumId w:val="10"/>
  </w:num>
  <w:num w:numId="6">
    <w:abstractNumId w:val="13"/>
  </w:num>
  <w:num w:numId="7">
    <w:abstractNumId w:val="9"/>
  </w:num>
  <w:num w:numId="8">
    <w:abstractNumId w:val="2"/>
  </w:num>
  <w:num w:numId="9">
    <w:abstractNumId w:val="0"/>
  </w:num>
  <w:num w:numId="10">
    <w:abstractNumId w:val="6"/>
  </w:num>
  <w:num w:numId="11">
    <w:abstractNumId w:val="7"/>
  </w:num>
  <w:num w:numId="12">
    <w:abstractNumId w:val="12"/>
  </w:num>
  <w:num w:numId="13">
    <w:abstractNumId w:val="4"/>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76"/>
    <w:rsid w:val="00032A4C"/>
    <w:rsid w:val="0008166B"/>
    <w:rsid w:val="000A4CEA"/>
    <w:rsid w:val="000A54B2"/>
    <w:rsid w:val="000A5C22"/>
    <w:rsid w:val="000B357D"/>
    <w:rsid w:val="000D5D18"/>
    <w:rsid w:val="000E02E3"/>
    <w:rsid w:val="000F59DD"/>
    <w:rsid w:val="00100E21"/>
    <w:rsid w:val="00101067"/>
    <w:rsid w:val="00117E6A"/>
    <w:rsid w:val="00121942"/>
    <w:rsid w:val="001230E5"/>
    <w:rsid w:val="001351AC"/>
    <w:rsid w:val="00163D55"/>
    <w:rsid w:val="00193EB0"/>
    <w:rsid w:val="001B273D"/>
    <w:rsid w:val="001B58DC"/>
    <w:rsid w:val="001D0025"/>
    <w:rsid w:val="001D2277"/>
    <w:rsid w:val="001F6780"/>
    <w:rsid w:val="0020001D"/>
    <w:rsid w:val="00203859"/>
    <w:rsid w:val="00204B3D"/>
    <w:rsid w:val="00205388"/>
    <w:rsid w:val="002101EE"/>
    <w:rsid w:val="00212DA4"/>
    <w:rsid w:val="0021332C"/>
    <w:rsid w:val="00226094"/>
    <w:rsid w:val="00241F4D"/>
    <w:rsid w:val="00244E76"/>
    <w:rsid w:val="002458B9"/>
    <w:rsid w:val="0027490F"/>
    <w:rsid w:val="0027609A"/>
    <w:rsid w:val="00287608"/>
    <w:rsid w:val="002925FC"/>
    <w:rsid w:val="002A66CD"/>
    <w:rsid w:val="002D305D"/>
    <w:rsid w:val="002E5704"/>
    <w:rsid w:val="00311E53"/>
    <w:rsid w:val="00317A4C"/>
    <w:rsid w:val="00320494"/>
    <w:rsid w:val="0032398E"/>
    <w:rsid w:val="0032439E"/>
    <w:rsid w:val="003311F4"/>
    <w:rsid w:val="00340985"/>
    <w:rsid w:val="00342FE7"/>
    <w:rsid w:val="00350F02"/>
    <w:rsid w:val="003514DF"/>
    <w:rsid w:val="00355A82"/>
    <w:rsid w:val="003632F6"/>
    <w:rsid w:val="0037055E"/>
    <w:rsid w:val="00386263"/>
    <w:rsid w:val="00395294"/>
    <w:rsid w:val="003A065D"/>
    <w:rsid w:val="003A2D15"/>
    <w:rsid w:val="003A58F9"/>
    <w:rsid w:val="003B0FEA"/>
    <w:rsid w:val="003C1F41"/>
    <w:rsid w:val="003C2D81"/>
    <w:rsid w:val="003E3AFF"/>
    <w:rsid w:val="003F2C19"/>
    <w:rsid w:val="003F5A19"/>
    <w:rsid w:val="00411668"/>
    <w:rsid w:val="004222F7"/>
    <w:rsid w:val="00427EED"/>
    <w:rsid w:val="00445EC8"/>
    <w:rsid w:val="00451822"/>
    <w:rsid w:val="00451FEF"/>
    <w:rsid w:val="00456586"/>
    <w:rsid w:val="004603B4"/>
    <w:rsid w:val="00472F35"/>
    <w:rsid w:val="00486F79"/>
    <w:rsid w:val="00493DC9"/>
    <w:rsid w:val="004A397D"/>
    <w:rsid w:val="004A6168"/>
    <w:rsid w:val="004B3B8E"/>
    <w:rsid w:val="004B7D19"/>
    <w:rsid w:val="004C0EDB"/>
    <w:rsid w:val="004E0DE2"/>
    <w:rsid w:val="004E7C0F"/>
    <w:rsid w:val="004F55B8"/>
    <w:rsid w:val="00503FAC"/>
    <w:rsid w:val="005243CD"/>
    <w:rsid w:val="00526918"/>
    <w:rsid w:val="00533B15"/>
    <w:rsid w:val="00544E0F"/>
    <w:rsid w:val="00563D6D"/>
    <w:rsid w:val="00575252"/>
    <w:rsid w:val="00583F95"/>
    <w:rsid w:val="005845DB"/>
    <w:rsid w:val="00590681"/>
    <w:rsid w:val="005A2487"/>
    <w:rsid w:val="005A3132"/>
    <w:rsid w:val="005A78A2"/>
    <w:rsid w:val="005B2315"/>
    <w:rsid w:val="005B5767"/>
    <w:rsid w:val="005F25FC"/>
    <w:rsid w:val="006077EC"/>
    <w:rsid w:val="00607B70"/>
    <w:rsid w:val="00612CC1"/>
    <w:rsid w:val="00612E97"/>
    <w:rsid w:val="00614464"/>
    <w:rsid w:val="00623127"/>
    <w:rsid w:val="00635022"/>
    <w:rsid w:val="00637968"/>
    <w:rsid w:val="00663788"/>
    <w:rsid w:val="00694D2C"/>
    <w:rsid w:val="006A4F89"/>
    <w:rsid w:val="006C22AA"/>
    <w:rsid w:val="00720B1C"/>
    <w:rsid w:val="00732728"/>
    <w:rsid w:val="0073381F"/>
    <w:rsid w:val="007347C0"/>
    <w:rsid w:val="00750053"/>
    <w:rsid w:val="007537C9"/>
    <w:rsid w:val="0076306E"/>
    <w:rsid w:val="007819A3"/>
    <w:rsid w:val="00783156"/>
    <w:rsid w:val="00784A9C"/>
    <w:rsid w:val="00787848"/>
    <w:rsid w:val="00796D4C"/>
    <w:rsid w:val="007A04B5"/>
    <w:rsid w:val="007A580A"/>
    <w:rsid w:val="007B13AE"/>
    <w:rsid w:val="007B1B2E"/>
    <w:rsid w:val="007D4759"/>
    <w:rsid w:val="007D6241"/>
    <w:rsid w:val="007E3256"/>
    <w:rsid w:val="007E72CA"/>
    <w:rsid w:val="007F686A"/>
    <w:rsid w:val="00804831"/>
    <w:rsid w:val="0081140B"/>
    <w:rsid w:val="00814820"/>
    <w:rsid w:val="0081661C"/>
    <w:rsid w:val="0083575A"/>
    <w:rsid w:val="00843030"/>
    <w:rsid w:val="00843A56"/>
    <w:rsid w:val="008501AD"/>
    <w:rsid w:val="0086732C"/>
    <w:rsid w:val="008A33DF"/>
    <w:rsid w:val="008B3D93"/>
    <w:rsid w:val="008D6E98"/>
    <w:rsid w:val="008F32AC"/>
    <w:rsid w:val="00914C6D"/>
    <w:rsid w:val="00936A06"/>
    <w:rsid w:val="00964ED2"/>
    <w:rsid w:val="009667E4"/>
    <w:rsid w:val="00973BBE"/>
    <w:rsid w:val="009A546B"/>
    <w:rsid w:val="009A5DAA"/>
    <w:rsid w:val="009C4CD7"/>
    <w:rsid w:val="009E1DAF"/>
    <w:rsid w:val="009E27EE"/>
    <w:rsid w:val="009E313E"/>
    <w:rsid w:val="009F33B0"/>
    <w:rsid w:val="00A06011"/>
    <w:rsid w:val="00A10916"/>
    <w:rsid w:val="00A35A48"/>
    <w:rsid w:val="00A51B99"/>
    <w:rsid w:val="00A53770"/>
    <w:rsid w:val="00A607F9"/>
    <w:rsid w:val="00A656DD"/>
    <w:rsid w:val="00A657D6"/>
    <w:rsid w:val="00A671A1"/>
    <w:rsid w:val="00A80A6F"/>
    <w:rsid w:val="00AA5215"/>
    <w:rsid w:val="00AA74E4"/>
    <w:rsid w:val="00AB5145"/>
    <w:rsid w:val="00AD5B1E"/>
    <w:rsid w:val="00AE1797"/>
    <w:rsid w:val="00AF3608"/>
    <w:rsid w:val="00AF6621"/>
    <w:rsid w:val="00B03115"/>
    <w:rsid w:val="00B04651"/>
    <w:rsid w:val="00B051AA"/>
    <w:rsid w:val="00B519D7"/>
    <w:rsid w:val="00B520F0"/>
    <w:rsid w:val="00B6560B"/>
    <w:rsid w:val="00B80E46"/>
    <w:rsid w:val="00B87D28"/>
    <w:rsid w:val="00B90F43"/>
    <w:rsid w:val="00B9744B"/>
    <w:rsid w:val="00BA662E"/>
    <w:rsid w:val="00BB02F6"/>
    <w:rsid w:val="00BC3A9F"/>
    <w:rsid w:val="00BC78C6"/>
    <w:rsid w:val="00BD5F59"/>
    <w:rsid w:val="00BE04D5"/>
    <w:rsid w:val="00BF062E"/>
    <w:rsid w:val="00BF0933"/>
    <w:rsid w:val="00BF4509"/>
    <w:rsid w:val="00BF4ED2"/>
    <w:rsid w:val="00C0037F"/>
    <w:rsid w:val="00C01CE4"/>
    <w:rsid w:val="00C3610F"/>
    <w:rsid w:val="00C426AE"/>
    <w:rsid w:val="00C4513B"/>
    <w:rsid w:val="00C51308"/>
    <w:rsid w:val="00C57D30"/>
    <w:rsid w:val="00C62C5D"/>
    <w:rsid w:val="00C912C7"/>
    <w:rsid w:val="00C9199C"/>
    <w:rsid w:val="00C96466"/>
    <w:rsid w:val="00CA7CDA"/>
    <w:rsid w:val="00CB0BDA"/>
    <w:rsid w:val="00CB30D7"/>
    <w:rsid w:val="00CB4497"/>
    <w:rsid w:val="00CB7E9B"/>
    <w:rsid w:val="00CC4473"/>
    <w:rsid w:val="00D036F2"/>
    <w:rsid w:val="00D22AE3"/>
    <w:rsid w:val="00D2778F"/>
    <w:rsid w:val="00D31ECA"/>
    <w:rsid w:val="00D33F04"/>
    <w:rsid w:val="00D40289"/>
    <w:rsid w:val="00D465A1"/>
    <w:rsid w:val="00D50CC7"/>
    <w:rsid w:val="00D53FD4"/>
    <w:rsid w:val="00D67706"/>
    <w:rsid w:val="00DB0FE2"/>
    <w:rsid w:val="00DB3683"/>
    <w:rsid w:val="00DB36E9"/>
    <w:rsid w:val="00DE039A"/>
    <w:rsid w:val="00DF183A"/>
    <w:rsid w:val="00E03266"/>
    <w:rsid w:val="00E22AD0"/>
    <w:rsid w:val="00E369FB"/>
    <w:rsid w:val="00E43134"/>
    <w:rsid w:val="00E515C4"/>
    <w:rsid w:val="00E800C6"/>
    <w:rsid w:val="00E843B0"/>
    <w:rsid w:val="00E84688"/>
    <w:rsid w:val="00E868E2"/>
    <w:rsid w:val="00E90126"/>
    <w:rsid w:val="00E93176"/>
    <w:rsid w:val="00EC280B"/>
    <w:rsid w:val="00EC7FFB"/>
    <w:rsid w:val="00EE365A"/>
    <w:rsid w:val="00EF22CA"/>
    <w:rsid w:val="00F01D75"/>
    <w:rsid w:val="00F16477"/>
    <w:rsid w:val="00F170C7"/>
    <w:rsid w:val="00F174CC"/>
    <w:rsid w:val="00F23AD0"/>
    <w:rsid w:val="00F47428"/>
    <w:rsid w:val="00F51D60"/>
    <w:rsid w:val="00F6311B"/>
    <w:rsid w:val="00F714D3"/>
    <w:rsid w:val="00F919B6"/>
    <w:rsid w:val="00FB376B"/>
    <w:rsid w:val="00FB53CE"/>
    <w:rsid w:val="00FC155A"/>
    <w:rsid w:val="00FC5DA1"/>
    <w:rsid w:val="00FD0ED4"/>
    <w:rsid w:val="00FE1DB7"/>
    <w:rsid w:val="00FE256C"/>
    <w:rsid w:val="00FE7306"/>
    <w:rsid w:val="00FF2CE8"/>
    <w:rsid w:val="00FF5D1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9F66"/>
  <w15:docId w15:val="{AF19194A-D830-4F25-8701-6592B08D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D15"/>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A74E4"/>
    <w:pPr>
      <w:spacing w:line="240" w:lineRule="auto"/>
    </w:pPr>
    <w:rPr>
      <w:sz w:val="20"/>
      <w:szCs w:val="20"/>
    </w:rPr>
  </w:style>
  <w:style w:type="character" w:customStyle="1" w:styleId="a4">
    <w:name w:val="Текст сноски Знак"/>
    <w:basedOn w:val="a0"/>
    <w:link w:val="a3"/>
    <w:uiPriority w:val="99"/>
    <w:semiHidden/>
    <w:rsid w:val="00AA74E4"/>
    <w:rPr>
      <w:rFonts w:ascii="Times New Roman" w:hAnsi="Times New Roman"/>
      <w:sz w:val="20"/>
      <w:szCs w:val="20"/>
    </w:rPr>
  </w:style>
  <w:style w:type="character" w:styleId="a5">
    <w:name w:val="footnote reference"/>
    <w:basedOn w:val="a0"/>
    <w:uiPriority w:val="99"/>
    <w:semiHidden/>
    <w:unhideWhenUsed/>
    <w:rsid w:val="00AA74E4"/>
    <w:rPr>
      <w:vertAlign w:val="superscript"/>
    </w:rPr>
  </w:style>
  <w:style w:type="character" w:styleId="a6">
    <w:name w:val="Hyperlink"/>
    <w:basedOn w:val="a0"/>
    <w:uiPriority w:val="99"/>
    <w:unhideWhenUsed/>
    <w:rsid w:val="002A66CD"/>
    <w:rPr>
      <w:color w:val="0563C1" w:themeColor="hyperlink"/>
      <w:u w:val="single"/>
    </w:rPr>
  </w:style>
  <w:style w:type="character" w:customStyle="1" w:styleId="UnresolvedMention">
    <w:name w:val="Unresolved Mention"/>
    <w:basedOn w:val="a0"/>
    <w:uiPriority w:val="99"/>
    <w:semiHidden/>
    <w:unhideWhenUsed/>
    <w:rsid w:val="002A66CD"/>
    <w:rPr>
      <w:color w:val="808080"/>
      <w:shd w:val="clear" w:color="auto" w:fill="E6E6E6"/>
    </w:rPr>
  </w:style>
  <w:style w:type="paragraph" w:styleId="a7">
    <w:name w:val="header"/>
    <w:basedOn w:val="a"/>
    <w:link w:val="a8"/>
    <w:uiPriority w:val="99"/>
    <w:unhideWhenUsed/>
    <w:rsid w:val="00451FEF"/>
    <w:pPr>
      <w:tabs>
        <w:tab w:val="center" w:pos="4677"/>
        <w:tab w:val="right" w:pos="9355"/>
      </w:tabs>
      <w:spacing w:line="240" w:lineRule="auto"/>
    </w:pPr>
  </w:style>
  <w:style w:type="character" w:customStyle="1" w:styleId="a8">
    <w:name w:val="Верхний колонтитул Знак"/>
    <w:basedOn w:val="a0"/>
    <w:link w:val="a7"/>
    <w:uiPriority w:val="99"/>
    <w:rsid w:val="00451FEF"/>
    <w:rPr>
      <w:rFonts w:ascii="Times New Roman" w:hAnsi="Times New Roman"/>
      <w:sz w:val="28"/>
    </w:rPr>
  </w:style>
  <w:style w:type="paragraph" w:styleId="a9">
    <w:name w:val="footer"/>
    <w:basedOn w:val="a"/>
    <w:link w:val="aa"/>
    <w:uiPriority w:val="99"/>
    <w:unhideWhenUsed/>
    <w:rsid w:val="00451FEF"/>
    <w:pPr>
      <w:tabs>
        <w:tab w:val="center" w:pos="4677"/>
        <w:tab w:val="right" w:pos="9355"/>
      </w:tabs>
      <w:spacing w:line="240" w:lineRule="auto"/>
    </w:pPr>
  </w:style>
  <w:style w:type="character" w:customStyle="1" w:styleId="aa">
    <w:name w:val="Нижний колонтитул Знак"/>
    <w:basedOn w:val="a0"/>
    <w:link w:val="a9"/>
    <w:uiPriority w:val="99"/>
    <w:rsid w:val="00451FEF"/>
    <w:rPr>
      <w:rFonts w:ascii="Times New Roman" w:hAnsi="Times New Roman"/>
      <w:sz w:val="28"/>
    </w:rPr>
  </w:style>
  <w:style w:type="paragraph" w:styleId="ab">
    <w:name w:val="List Paragraph"/>
    <w:basedOn w:val="a"/>
    <w:uiPriority w:val="34"/>
    <w:qFormat/>
    <w:rsid w:val="00FE7306"/>
    <w:pPr>
      <w:ind w:left="720"/>
      <w:contextualSpacing/>
    </w:pPr>
  </w:style>
  <w:style w:type="table" w:styleId="ac">
    <w:name w:val="Table Grid"/>
    <w:basedOn w:val="a1"/>
    <w:uiPriority w:val="39"/>
    <w:rsid w:val="003F5A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1230E5"/>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1230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Downloads\lombard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12700" cap="flat" cmpd="sng" algn="ctr">
          <a:solidFill>
            <a:schemeClr val="dk1"/>
          </a:solidFill>
          <a:prstDash val="solid"/>
          <a:miter lim="800000"/>
        </a:ln>
        <a:effectLst/>
        <a:sp3d contourW="12700">
          <a:contourClr>
            <a:schemeClr val="dk1"/>
          </a:contourClr>
        </a:sp3d>
      </c:spPr>
    </c:floor>
    <c:sideWall>
      <c:thickness val="0"/>
      <c:spPr>
        <a:noFill/>
        <a:ln w="12700" cap="flat" cmpd="sng" algn="ctr">
          <a:solidFill>
            <a:schemeClr val="dk1"/>
          </a:solidFill>
          <a:prstDash val="solid"/>
          <a:miter lim="800000"/>
        </a:ln>
        <a:effectLst/>
        <a:sp3d contourW="12700">
          <a:contourClr>
            <a:schemeClr val="dk1"/>
          </a:contourClr>
        </a:sp3d>
      </c:spPr>
    </c:sideWall>
    <c:backWall>
      <c:thickness val="0"/>
      <c:spPr>
        <a:noFill/>
        <a:ln w="12700" cap="flat" cmpd="sng" algn="ctr">
          <a:solidFill>
            <a:schemeClr val="dk1"/>
          </a:solidFill>
          <a:prstDash val="solid"/>
          <a:miter lim="800000"/>
        </a:ln>
        <a:effectLst/>
        <a:sp3d contourW="12700">
          <a:contourClr>
            <a:schemeClr val="dk1"/>
          </a:contourClr>
        </a:sp3d>
      </c:spPr>
    </c:backWall>
    <c:plotArea>
      <c:layout>
        <c:manualLayout>
          <c:layoutTarget val="inner"/>
          <c:xMode val="edge"/>
          <c:yMode val="edge"/>
          <c:x val="8.7627952755905514E-2"/>
          <c:y val="3.7453703703703718E-2"/>
          <c:w val="0.90380987532808399"/>
          <c:h val="0.63937291695386678"/>
        </c:manualLayout>
      </c:layout>
      <c:bar3DChart>
        <c:barDir val="col"/>
        <c:grouping val="clustered"/>
        <c:varyColors val="0"/>
        <c:ser>
          <c:idx val="0"/>
          <c:order val="0"/>
          <c:tx>
            <c:strRef>
              <c:f>[lombardy.xlsx]Лист1!$B$20</c:f>
              <c:strCache>
                <c:ptCount val="1"/>
                <c:pt idx="0">
                  <c:v>Количество зарегистрированных ломбардов в РФ</c:v>
                </c:pt>
              </c:strCache>
            </c:strRef>
          </c:tx>
          <c:spPr>
            <a:solidFill>
              <a:schemeClr val="bg1">
                <a:lumMod val="85000"/>
              </a:schemeClr>
            </a:solidFill>
            <a:ln>
              <a:solidFill>
                <a:schemeClr val="tx1"/>
              </a:solidFill>
            </a:ln>
            <a:effectLst/>
            <a:sp3d>
              <a:contourClr>
                <a:schemeClr val="tx1"/>
              </a:contourClr>
            </a:sp3d>
          </c:spPr>
          <c:invertIfNegative val="0"/>
          <c:dPt>
            <c:idx val="8"/>
            <c:invertIfNegative val="0"/>
            <c:bubble3D val="0"/>
            <c:spPr>
              <a:solidFill>
                <a:schemeClr val="bg2">
                  <a:lumMod val="50000"/>
                </a:schemeClr>
              </a:solidFill>
              <a:ln>
                <a:solidFill>
                  <a:schemeClr val="bg1">
                    <a:lumMod val="95000"/>
                  </a:schemeClr>
                </a:solidFill>
              </a:ln>
              <a:effectLst/>
              <a:sp3d>
                <a:contourClr>
                  <a:schemeClr val="bg1">
                    <a:lumMod val="95000"/>
                  </a:schemeClr>
                </a:contourClr>
              </a:sp3d>
            </c:spPr>
            <c:extLst xmlns:c16r2="http://schemas.microsoft.com/office/drawing/2015/06/chart">
              <c:ext xmlns:c16="http://schemas.microsoft.com/office/drawing/2014/chart" uri="{C3380CC4-5D6E-409C-BE32-E72D297353CC}">
                <c16:uniqueId val="{00000001-4823-4D37-B649-8C12EC2EEF78}"/>
              </c:ext>
            </c:extLst>
          </c:dPt>
          <c:dPt>
            <c:idx val="9"/>
            <c:invertIfNegative val="0"/>
            <c:bubble3D val="0"/>
            <c:spPr>
              <a:solidFill>
                <a:schemeClr val="bg2">
                  <a:lumMod val="50000"/>
                </a:schemeClr>
              </a:solidFill>
              <a:ln>
                <a:solidFill>
                  <a:schemeClr val="bg1">
                    <a:lumMod val="95000"/>
                  </a:schemeClr>
                </a:solidFill>
              </a:ln>
              <a:effectLst/>
              <a:sp3d>
                <a:contourClr>
                  <a:schemeClr val="bg1">
                    <a:lumMod val="95000"/>
                  </a:schemeClr>
                </a:contourClr>
              </a:sp3d>
            </c:spPr>
            <c:extLst xmlns:c16r2="http://schemas.microsoft.com/office/drawing/2015/06/chart">
              <c:ext xmlns:c16="http://schemas.microsoft.com/office/drawing/2014/chart" uri="{C3380CC4-5D6E-409C-BE32-E72D297353CC}">
                <c16:uniqueId val="{00000003-4823-4D37-B649-8C12EC2EEF78}"/>
              </c:ext>
            </c:extLst>
          </c:dPt>
          <c:dPt>
            <c:idx val="10"/>
            <c:invertIfNegative val="0"/>
            <c:bubble3D val="0"/>
            <c:spPr>
              <a:solidFill>
                <a:schemeClr val="bg2">
                  <a:lumMod val="50000"/>
                </a:schemeClr>
              </a:solidFill>
              <a:ln>
                <a:solidFill>
                  <a:schemeClr val="bg1">
                    <a:lumMod val="95000"/>
                  </a:schemeClr>
                </a:solidFill>
              </a:ln>
              <a:effectLst/>
              <a:sp3d>
                <a:contourClr>
                  <a:schemeClr val="bg1">
                    <a:lumMod val="95000"/>
                  </a:schemeClr>
                </a:contourClr>
              </a:sp3d>
            </c:spPr>
            <c:extLst xmlns:c16r2="http://schemas.microsoft.com/office/drawing/2015/06/chart">
              <c:ext xmlns:c16="http://schemas.microsoft.com/office/drawing/2014/chart" uri="{C3380CC4-5D6E-409C-BE32-E72D297353CC}">
                <c16:uniqueId val="{00000005-4823-4D37-B649-8C12EC2EEF78}"/>
              </c:ext>
            </c:extLst>
          </c:dPt>
          <c:dPt>
            <c:idx val="11"/>
            <c:invertIfNegative val="0"/>
            <c:bubble3D val="0"/>
            <c:spPr>
              <a:solidFill>
                <a:schemeClr val="bg2">
                  <a:lumMod val="50000"/>
                </a:schemeClr>
              </a:solidFill>
              <a:ln>
                <a:solidFill>
                  <a:schemeClr val="bg1">
                    <a:lumMod val="95000"/>
                  </a:schemeClr>
                </a:solidFill>
              </a:ln>
              <a:effectLst/>
              <a:sp3d>
                <a:contourClr>
                  <a:schemeClr val="bg1">
                    <a:lumMod val="95000"/>
                  </a:schemeClr>
                </a:contourClr>
              </a:sp3d>
            </c:spPr>
            <c:extLst xmlns:c16r2="http://schemas.microsoft.com/office/drawing/2015/06/chart">
              <c:ext xmlns:c16="http://schemas.microsoft.com/office/drawing/2014/chart" uri="{C3380CC4-5D6E-409C-BE32-E72D297353CC}">
                <c16:uniqueId val="{00000007-4823-4D37-B649-8C12EC2EEF78}"/>
              </c:ext>
            </c:extLst>
          </c:dPt>
          <c:cat>
            <c:strRef>
              <c:f>[lombardy.xlsx]Лист1!$A$25:$A$36</c:f>
              <c:strCache>
                <c:ptCount val="12"/>
                <c:pt idx="0">
                  <c:v>2010</c:v>
                </c:pt>
                <c:pt idx="1">
                  <c:v>2011</c:v>
                </c:pt>
                <c:pt idx="2">
                  <c:v>2012</c:v>
                </c:pt>
                <c:pt idx="3">
                  <c:v>2013</c:v>
                </c:pt>
                <c:pt idx="4">
                  <c:v>2014</c:v>
                </c:pt>
                <c:pt idx="5">
                  <c:v>2015</c:v>
                </c:pt>
                <c:pt idx="6">
                  <c:v>2016</c:v>
                </c:pt>
                <c:pt idx="7">
                  <c:v>2017 (II quarter)</c:v>
                </c:pt>
                <c:pt idx="8">
                  <c:v>2017П</c:v>
                </c:pt>
                <c:pt idx="9">
                  <c:v>2018П</c:v>
                </c:pt>
                <c:pt idx="10">
                  <c:v>2019П</c:v>
                </c:pt>
                <c:pt idx="11">
                  <c:v>2020П</c:v>
                </c:pt>
              </c:strCache>
            </c:strRef>
          </c:cat>
          <c:val>
            <c:numRef>
              <c:f>[lombardy.xlsx]Лист1!$B$25:$B$36</c:f>
              <c:numCache>
                <c:formatCode>General</c:formatCode>
                <c:ptCount val="12"/>
                <c:pt idx="0">
                  <c:v>5600</c:v>
                </c:pt>
                <c:pt idx="1">
                  <c:v>6425</c:v>
                </c:pt>
                <c:pt idx="2">
                  <c:v>7075</c:v>
                </c:pt>
                <c:pt idx="3">
                  <c:v>7726</c:v>
                </c:pt>
                <c:pt idx="4">
                  <c:v>7796</c:v>
                </c:pt>
                <c:pt idx="5">
                  <c:v>8417</c:v>
                </c:pt>
                <c:pt idx="6">
                  <c:v>8127</c:v>
                </c:pt>
                <c:pt idx="7">
                  <c:v>7015</c:v>
                </c:pt>
                <c:pt idx="8" formatCode="0">
                  <c:v>6900</c:v>
                </c:pt>
                <c:pt idx="9" formatCode="0">
                  <c:v>7388.7494838708953</c:v>
                </c:pt>
                <c:pt idx="10" formatCode="0">
                  <c:v>7752.1003548386916</c:v>
                </c:pt>
                <c:pt idx="11" formatCode="0">
                  <c:v>8115.4512258063887</c:v>
                </c:pt>
              </c:numCache>
            </c:numRef>
          </c:val>
          <c:extLst xmlns:c16r2="http://schemas.microsoft.com/office/drawing/2015/06/chart">
            <c:ext xmlns:c16="http://schemas.microsoft.com/office/drawing/2014/chart" uri="{C3380CC4-5D6E-409C-BE32-E72D297353CC}">
              <c16:uniqueId val="{00000008-4823-4D37-B649-8C12EC2EEF78}"/>
            </c:ext>
          </c:extLst>
        </c:ser>
        <c:dLbls>
          <c:showLegendKey val="0"/>
          <c:showVal val="0"/>
          <c:showCatName val="0"/>
          <c:showSerName val="0"/>
          <c:showPercent val="0"/>
          <c:showBubbleSize val="0"/>
        </c:dLbls>
        <c:gapWidth val="150"/>
        <c:shape val="box"/>
        <c:axId val="399562272"/>
        <c:axId val="399563448"/>
        <c:axId val="0"/>
      </c:bar3DChart>
      <c:catAx>
        <c:axId val="399562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99563448"/>
        <c:crosses val="autoZero"/>
        <c:auto val="1"/>
        <c:lblAlgn val="ctr"/>
        <c:lblOffset val="100"/>
        <c:noMultiLvlLbl val="0"/>
      </c:catAx>
      <c:valAx>
        <c:axId val="399563448"/>
        <c:scaling>
          <c:orientation val="minMax"/>
        </c:scaling>
        <c:delete val="0"/>
        <c:axPos val="l"/>
        <c:majorGridlines>
          <c:spPr>
            <a:ln w="6350" cap="flat" cmpd="sng" algn="ctr">
              <a:solidFill>
                <a:schemeClr val="dk1"/>
              </a:solidFill>
              <a:prstDash val="solid"/>
              <a:miter lim="800000"/>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995622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solidFill>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B09C3-3343-42BA-AF04-56F7BBA8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2329</Words>
  <Characters>13276</Characters>
  <Application>Microsoft Office Word</Application>
  <DocSecurity>0</DocSecurity>
  <Lines>110</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Oleg</cp:lastModifiedBy>
  <cp:revision>14</cp:revision>
  <dcterms:created xsi:type="dcterms:W3CDTF">2017-11-24T12:06:00Z</dcterms:created>
  <dcterms:modified xsi:type="dcterms:W3CDTF">2017-12-05T16:21:00Z</dcterms:modified>
</cp:coreProperties>
</file>