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4D541" w14:textId="77777777" w:rsidR="006C30ED" w:rsidRPr="009A5CB2" w:rsidRDefault="0081430C" w:rsidP="009A5CB2">
      <w:pPr>
        <w:spacing w:after="0" w:line="360" w:lineRule="auto"/>
        <w:ind w:right="-1"/>
        <w:rPr>
          <w:rFonts w:ascii="Times New Roman" w:hAnsi="Times New Roman" w:cs="Times New Roman"/>
          <w:b/>
          <w:sz w:val="28"/>
          <w:szCs w:val="28"/>
        </w:rPr>
      </w:pPr>
      <w:bookmarkStart w:id="0" w:name="_GoBack"/>
      <w:bookmarkEnd w:id="0"/>
      <w:r w:rsidRPr="00C57DFA">
        <w:rPr>
          <w:rFonts w:ascii="Times New Roman" w:hAnsi="Times New Roman" w:cs="Times New Roman"/>
          <w:b/>
          <w:sz w:val="28"/>
          <w:szCs w:val="28"/>
        </w:rPr>
        <w:t xml:space="preserve">Modeling of Credit Institution License Withdrawal </w:t>
      </w:r>
      <w:r w:rsidR="002E0E96" w:rsidRPr="00C57DFA">
        <w:rPr>
          <w:rFonts w:ascii="Times New Roman" w:hAnsi="Times New Roman" w:cs="Times New Roman"/>
          <w:b/>
          <w:sz w:val="28"/>
          <w:szCs w:val="28"/>
        </w:rPr>
        <w:t>B</w:t>
      </w:r>
      <w:r w:rsidRPr="00C57DFA">
        <w:rPr>
          <w:rFonts w:ascii="Times New Roman" w:hAnsi="Times New Roman" w:cs="Times New Roman"/>
          <w:b/>
          <w:sz w:val="28"/>
          <w:szCs w:val="28"/>
        </w:rPr>
        <w:t>ased on Panel Data</w:t>
      </w:r>
    </w:p>
    <w:p w14:paraId="758620FC" w14:textId="77777777" w:rsidR="00DF08F8" w:rsidRPr="009A5CB2" w:rsidRDefault="00DF08F8" w:rsidP="009A5CB2">
      <w:pPr>
        <w:spacing w:before="120" w:after="0" w:line="360" w:lineRule="auto"/>
        <w:ind w:firstLine="709"/>
        <w:rPr>
          <w:rFonts w:ascii="Times New Roman" w:hAnsi="Times New Roman" w:cs="Times New Roman"/>
          <w:b/>
          <w:sz w:val="24"/>
          <w:szCs w:val="24"/>
          <w:vertAlign w:val="superscript"/>
        </w:rPr>
      </w:pPr>
      <w:proofErr w:type="spellStart"/>
      <w:r w:rsidRPr="009A5CB2">
        <w:rPr>
          <w:rFonts w:ascii="Times New Roman" w:hAnsi="Times New Roman" w:cs="Times New Roman"/>
          <w:b/>
          <w:sz w:val="24"/>
          <w:szCs w:val="24"/>
        </w:rPr>
        <w:t>Domashova</w:t>
      </w:r>
      <w:proofErr w:type="spellEnd"/>
      <w:r w:rsidRPr="009A5CB2">
        <w:rPr>
          <w:rFonts w:ascii="Times New Roman" w:hAnsi="Times New Roman" w:cs="Times New Roman"/>
          <w:b/>
          <w:sz w:val="24"/>
          <w:szCs w:val="24"/>
        </w:rPr>
        <w:t xml:space="preserve"> D.V.</w:t>
      </w:r>
      <w:r w:rsidRPr="009A5CB2">
        <w:rPr>
          <w:rFonts w:ascii="Times New Roman" w:hAnsi="Times New Roman" w:cs="Times New Roman"/>
          <w:b/>
          <w:sz w:val="24"/>
          <w:szCs w:val="24"/>
          <w:vertAlign w:val="superscript"/>
        </w:rPr>
        <w:t>1</w:t>
      </w:r>
      <w:r w:rsidRPr="009A5CB2">
        <w:rPr>
          <w:rFonts w:ascii="Times New Roman" w:hAnsi="Times New Roman" w:cs="Times New Roman"/>
          <w:b/>
          <w:sz w:val="24"/>
          <w:szCs w:val="24"/>
        </w:rPr>
        <w:t xml:space="preserve">, </w:t>
      </w:r>
      <w:proofErr w:type="spellStart"/>
      <w:r w:rsidRPr="009A5CB2">
        <w:rPr>
          <w:rFonts w:ascii="Times New Roman" w:hAnsi="Times New Roman" w:cs="Times New Roman"/>
          <w:b/>
          <w:sz w:val="24"/>
          <w:szCs w:val="24"/>
        </w:rPr>
        <w:t>Kripak</w:t>
      </w:r>
      <w:proofErr w:type="spellEnd"/>
      <w:r w:rsidRPr="009A5CB2">
        <w:rPr>
          <w:rFonts w:ascii="Times New Roman" w:hAnsi="Times New Roman" w:cs="Times New Roman"/>
          <w:b/>
          <w:sz w:val="24"/>
          <w:szCs w:val="24"/>
        </w:rPr>
        <w:t xml:space="preserve"> </w:t>
      </w:r>
      <w:r w:rsidRPr="009A5CB2">
        <w:rPr>
          <w:rFonts w:ascii="Times New Roman" w:hAnsi="Times New Roman" w:cs="Times New Roman"/>
          <w:b/>
          <w:sz w:val="24"/>
          <w:szCs w:val="24"/>
          <w:lang w:val="ru-RU"/>
        </w:rPr>
        <w:t>Е</w:t>
      </w:r>
      <w:r w:rsidRPr="009A5CB2">
        <w:rPr>
          <w:rFonts w:ascii="Times New Roman" w:hAnsi="Times New Roman" w:cs="Times New Roman"/>
          <w:b/>
          <w:sz w:val="24"/>
          <w:szCs w:val="24"/>
        </w:rPr>
        <w:t>.</w:t>
      </w:r>
      <w:r w:rsidRPr="009A5CB2">
        <w:rPr>
          <w:rFonts w:ascii="Times New Roman" w:hAnsi="Times New Roman" w:cs="Times New Roman"/>
          <w:b/>
          <w:sz w:val="24"/>
          <w:szCs w:val="24"/>
          <w:lang w:val="ru-RU"/>
        </w:rPr>
        <w:t>М</w:t>
      </w:r>
      <w:r w:rsidRPr="009A5CB2">
        <w:rPr>
          <w:rFonts w:ascii="Times New Roman" w:hAnsi="Times New Roman" w:cs="Times New Roman"/>
          <w:b/>
          <w:sz w:val="24"/>
          <w:szCs w:val="24"/>
        </w:rPr>
        <w:t>.</w:t>
      </w:r>
      <w:r w:rsidRPr="009A5CB2">
        <w:rPr>
          <w:rFonts w:ascii="Times New Roman" w:hAnsi="Times New Roman" w:cs="Times New Roman"/>
          <w:b/>
          <w:sz w:val="24"/>
          <w:szCs w:val="24"/>
          <w:vertAlign w:val="superscript"/>
        </w:rPr>
        <w:t>2</w:t>
      </w:r>
      <w:r w:rsidRPr="009A5CB2">
        <w:rPr>
          <w:rFonts w:ascii="Times New Roman" w:hAnsi="Times New Roman" w:cs="Times New Roman"/>
          <w:b/>
          <w:sz w:val="24"/>
          <w:szCs w:val="24"/>
        </w:rPr>
        <w:t xml:space="preserve">, </w:t>
      </w:r>
      <w:proofErr w:type="spellStart"/>
      <w:r w:rsidRPr="009A5CB2">
        <w:rPr>
          <w:rFonts w:ascii="Times New Roman" w:hAnsi="Times New Roman" w:cs="Times New Roman"/>
          <w:b/>
          <w:sz w:val="24"/>
          <w:szCs w:val="24"/>
        </w:rPr>
        <w:t>Pisarchik</w:t>
      </w:r>
      <w:proofErr w:type="spellEnd"/>
      <w:r w:rsidRPr="009A5CB2">
        <w:rPr>
          <w:rFonts w:ascii="Times New Roman" w:hAnsi="Times New Roman" w:cs="Times New Roman"/>
          <w:b/>
          <w:sz w:val="24"/>
          <w:szCs w:val="24"/>
        </w:rPr>
        <w:t xml:space="preserve"> </w:t>
      </w:r>
      <w:r w:rsidRPr="009A5CB2">
        <w:rPr>
          <w:rFonts w:ascii="Times New Roman" w:hAnsi="Times New Roman" w:cs="Times New Roman"/>
          <w:b/>
          <w:sz w:val="24"/>
          <w:szCs w:val="24"/>
          <w:lang w:val="ru-RU"/>
        </w:rPr>
        <w:t>Е</w:t>
      </w:r>
      <w:r w:rsidRPr="009A5CB2">
        <w:rPr>
          <w:rFonts w:ascii="Times New Roman" w:hAnsi="Times New Roman" w:cs="Times New Roman"/>
          <w:b/>
          <w:sz w:val="24"/>
          <w:szCs w:val="24"/>
        </w:rPr>
        <w:t>.</w:t>
      </w:r>
      <w:r w:rsidRPr="009A5CB2">
        <w:rPr>
          <w:rFonts w:ascii="Times New Roman" w:hAnsi="Times New Roman" w:cs="Times New Roman"/>
          <w:b/>
          <w:sz w:val="24"/>
          <w:szCs w:val="24"/>
          <w:lang w:val="ru-RU"/>
        </w:rPr>
        <w:t>Е</w:t>
      </w:r>
      <w:r w:rsidRPr="009A5CB2">
        <w:rPr>
          <w:rFonts w:ascii="Times New Roman" w:hAnsi="Times New Roman" w:cs="Times New Roman"/>
          <w:b/>
          <w:sz w:val="24"/>
          <w:szCs w:val="24"/>
        </w:rPr>
        <w:t>.</w:t>
      </w:r>
      <w:r w:rsidR="009A5CB2" w:rsidRPr="009A5CB2">
        <w:rPr>
          <w:rFonts w:ascii="Times New Roman" w:hAnsi="Times New Roman" w:cs="Times New Roman"/>
          <w:b/>
          <w:sz w:val="24"/>
          <w:szCs w:val="24"/>
          <w:vertAlign w:val="superscript"/>
        </w:rPr>
        <w:t>1</w:t>
      </w:r>
      <w:r w:rsidRPr="009A5CB2">
        <w:rPr>
          <w:rFonts w:ascii="Times New Roman" w:hAnsi="Times New Roman" w:cs="Times New Roman"/>
          <w:b/>
          <w:sz w:val="24"/>
          <w:szCs w:val="24"/>
        </w:rPr>
        <w:t>, Ulanova Zh.U.</w:t>
      </w:r>
      <w:r w:rsidRPr="009A5CB2">
        <w:rPr>
          <w:rFonts w:ascii="Times New Roman" w:hAnsi="Times New Roman" w:cs="Times New Roman"/>
          <w:b/>
          <w:sz w:val="24"/>
          <w:szCs w:val="24"/>
          <w:vertAlign w:val="superscript"/>
        </w:rPr>
        <w:t>1</w:t>
      </w:r>
    </w:p>
    <w:p w14:paraId="35AC65D9" w14:textId="77777777" w:rsidR="00DF08F8" w:rsidRPr="000B6E04" w:rsidRDefault="00DF08F8" w:rsidP="000B6E04">
      <w:pPr>
        <w:spacing w:after="0" w:line="240" w:lineRule="auto"/>
        <w:ind w:left="709"/>
        <w:rPr>
          <w:rFonts w:ascii="Times New Roman" w:hAnsi="Times New Roman" w:cs="Times New Roman"/>
          <w:i/>
          <w:sz w:val="24"/>
          <w:szCs w:val="24"/>
        </w:rPr>
      </w:pPr>
      <w:r w:rsidRPr="000B6E04">
        <w:rPr>
          <w:rFonts w:ascii="Times New Roman" w:hAnsi="Times New Roman" w:cs="Times New Roman"/>
          <w:color w:val="000000"/>
          <w:sz w:val="24"/>
          <w:szCs w:val="24"/>
          <w:shd w:val="clear" w:color="auto" w:fill="FFFFFF"/>
          <w:vertAlign w:val="superscript"/>
        </w:rPr>
        <w:t>1</w:t>
      </w:r>
      <w:r w:rsidR="009A5CB2" w:rsidRPr="009A5CB2">
        <w:rPr>
          <w:rFonts w:ascii="Times New Roman" w:hAnsi="Times New Roman"/>
          <w:i/>
          <w:noProof/>
          <w:sz w:val="24"/>
          <w:szCs w:val="24"/>
        </w:rPr>
        <w:t xml:space="preserve"> </w:t>
      </w:r>
      <w:r w:rsidR="009A5CB2" w:rsidRPr="009A5CB2">
        <w:rPr>
          <w:rFonts w:ascii="Times New Roman" w:hAnsi="Times New Roman" w:cs="Times New Roman"/>
          <w:i/>
          <w:sz w:val="24"/>
          <w:szCs w:val="24"/>
        </w:rPr>
        <w:t xml:space="preserve">National Research Nuclear University </w:t>
      </w:r>
      <w:proofErr w:type="spellStart"/>
      <w:r w:rsidR="009A5CB2" w:rsidRPr="009A5CB2">
        <w:rPr>
          <w:rFonts w:ascii="Times New Roman" w:hAnsi="Times New Roman" w:cs="Times New Roman"/>
          <w:i/>
          <w:sz w:val="24"/>
          <w:szCs w:val="24"/>
        </w:rPr>
        <w:t>MEPhI</w:t>
      </w:r>
      <w:proofErr w:type="spellEnd"/>
      <w:r w:rsidR="009A5CB2" w:rsidRPr="009A5CB2">
        <w:rPr>
          <w:rFonts w:ascii="Times New Roman" w:hAnsi="Times New Roman" w:cs="Times New Roman"/>
          <w:i/>
          <w:sz w:val="24"/>
          <w:szCs w:val="24"/>
        </w:rPr>
        <w:t xml:space="preserve"> (Moscow Engineering Physics Institute), </w:t>
      </w:r>
      <w:r w:rsidR="009A5CB2" w:rsidRPr="009A5CB2">
        <w:rPr>
          <w:rFonts w:ascii="Times New Roman" w:hAnsi="Times New Roman" w:cs="Times New Roman"/>
          <w:i/>
          <w:sz w:val="24"/>
          <w:szCs w:val="24"/>
        </w:rPr>
        <w:br/>
      </w:r>
      <w:proofErr w:type="spellStart"/>
      <w:r w:rsidR="009A5CB2" w:rsidRPr="009A5CB2">
        <w:rPr>
          <w:rFonts w:ascii="Times New Roman" w:hAnsi="Times New Roman" w:cs="Times New Roman"/>
          <w:i/>
          <w:sz w:val="24"/>
          <w:szCs w:val="24"/>
        </w:rPr>
        <w:t>Kashirskoe</w:t>
      </w:r>
      <w:proofErr w:type="spellEnd"/>
      <w:r w:rsidR="009A5CB2" w:rsidRPr="009A5CB2">
        <w:rPr>
          <w:rFonts w:ascii="Times New Roman" w:hAnsi="Times New Roman" w:cs="Times New Roman"/>
          <w:i/>
          <w:sz w:val="24"/>
          <w:szCs w:val="24"/>
        </w:rPr>
        <w:t xml:space="preserve"> </w:t>
      </w:r>
      <w:proofErr w:type="spellStart"/>
      <w:r w:rsidR="009A5CB2" w:rsidRPr="009A5CB2">
        <w:rPr>
          <w:rFonts w:ascii="Times New Roman" w:hAnsi="Times New Roman" w:cs="Times New Roman"/>
          <w:i/>
          <w:sz w:val="24"/>
          <w:szCs w:val="24"/>
        </w:rPr>
        <w:t>shosse</w:t>
      </w:r>
      <w:proofErr w:type="spellEnd"/>
      <w:r w:rsidR="009A5CB2" w:rsidRPr="009A5CB2">
        <w:rPr>
          <w:rFonts w:ascii="Times New Roman" w:hAnsi="Times New Roman" w:cs="Times New Roman"/>
          <w:i/>
          <w:sz w:val="24"/>
          <w:szCs w:val="24"/>
        </w:rPr>
        <w:t xml:space="preserve"> 31, Moscow, 115409, Russia</w:t>
      </w:r>
    </w:p>
    <w:p w14:paraId="31CC0AE0" w14:textId="77777777" w:rsidR="00DF08F8" w:rsidRPr="000B6E04" w:rsidRDefault="00DF08F8" w:rsidP="000B6E04">
      <w:pPr>
        <w:spacing w:before="120" w:after="0"/>
        <w:ind w:firstLine="709"/>
        <w:jc w:val="both"/>
        <w:rPr>
          <w:rFonts w:ascii="Times New Roman" w:hAnsi="Times New Roman" w:cs="Times New Roman"/>
          <w:i/>
          <w:sz w:val="24"/>
          <w:szCs w:val="24"/>
        </w:rPr>
      </w:pPr>
      <w:r w:rsidRPr="000B6E04">
        <w:rPr>
          <w:rFonts w:ascii="Times New Roman" w:hAnsi="Times New Roman" w:cs="Times New Roman"/>
          <w:sz w:val="24"/>
          <w:szCs w:val="24"/>
          <w:vertAlign w:val="superscript"/>
        </w:rPr>
        <w:t>2</w:t>
      </w:r>
      <w:r w:rsidRPr="009A5CB2">
        <w:rPr>
          <w:rFonts w:ascii="Times New Roman" w:hAnsi="Times New Roman" w:cs="Times New Roman"/>
          <w:i/>
          <w:sz w:val="24"/>
          <w:szCs w:val="24"/>
          <w:vertAlign w:val="superscript"/>
        </w:rPr>
        <w:t xml:space="preserve"> </w:t>
      </w:r>
      <w:r w:rsidRPr="009A5CB2">
        <w:rPr>
          <w:rFonts w:ascii="Times New Roman" w:hAnsi="Times New Roman" w:cs="Times New Roman"/>
          <w:i/>
          <w:sz w:val="24"/>
          <w:szCs w:val="24"/>
        </w:rPr>
        <w:t>Orenburg Stat</w:t>
      </w:r>
      <w:r w:rsidR="000B6E04">
        <w:rPr>
          <w:rFonts w:ascii="Times New Roman" w:hAnsi="Times New Roman" w:cs="Times New Roman"/>
          <w:i/>
          <w:sz w:val="24"/>
          <w:szCs w:val="24"/>
        </w:rPr>
        <w:t>e University, Orenburg, Russia</w:t>
      </w:r>
    </w:p>
    <w:p w14:paraId="7BCA136E" w14:textId="77777777" w:rsidR="000B6E04" w:rsidRPr="000B6E04" w:rsidRDefault="000B6E04" w:rsidP="000B6E04">
      <w:pPr>
        <w:spacing w:after="0"/>
        <w:ind w:firstLine="709"/>
        <w:jc w:val="both"/>
        <w:rPr>
          <w:rFonts w:ascii="Times New Roman" w:hAnsi="Times New Roman" w:cs="Times New Roman"/>
          <w:sz w:val="24"/>
          <w:szCs w:val="24"/>
        </w:rPr>
      </w:pPr>
    </w:p>
    <w:p w14:paraId="12585DEC" w14:textId="77777777" w:rsidR="009A5CB2" w:rsidRPr="009444DA" w:rsidRDefault="009A5CB2" w:rsidP="009A5CB2">
      <w:pPr>
        <w:spacing w:after="0" w:line="360" w:lineRule="auto"/>
        <w:ind w:left="709"/>
        <w:jc w:val="both"/>
        <w:rPr>
          <w:rFonts w:ascii="Times New Roman" w:hAnsi="Times New Roman" w:cs="Times New Roman"/>
          <w:sz w:val="24"/>
          <w:szCs w:val="24"/>
        </w:rPr>
      </w:pPr>
      <w:proofErr w:type="spellStart"/>
      <w:r w:rsidRPr="009A5CB2">
        <w:rPr>
          <w:rFonts w:ascii="Times New Roman" w:hAnsi="Times New Roman" w:cs="Times New Roman"/>
          <w:sz w:val="24"/>
          <w:szCs w:val="24"/>
        </w:rPr>
        <w:t>Domashova</w:t>
      </w:r>
      <w:proofErr w:type="spellEnd"/>
      <w:r w:rsidRPr="009A5CB2">
        <w:rPr>
          <w:rFonts w:ascii="Times New Roman" w:hAnsi="Times New Roman" w:cs="Times New Roman"/>
          <w:sz w:val="24"/>
          <w:szCs w:val="24"/>
        </w:rPr>
        <w:t xml:space="preserve"> D.V.: </w:t>
      </w:r>
      <w:proofErr w:type="spellStart"/>
      <w:r w:rsidRPr="009A5CB2">
        <w:rPr>
          <w:rFonts w:ascii="Times New Roman" w:hAnsi="Times New Roman" w:cs="Times New Roman"/>
          <w:sz w:val="24"/>
          <w:szCs w:val="24"/>
        </w:rPr>
        <w:t>ORCiD</w:t>
      </w:r>
      <w:proofErr w:type="spellEnd"/>
      <w:r w:rsidRPr="009A5CB2">
        <w:rPr>
          <w:rFonts w:ascii="Times New Roman" w:hAnsi="Times New Roman" w:cs="Times New Roman"/>
          <w:sz w:val="24"/>
          <w:szCs w:val="24"/>
        </w:rPr>
        <w:t xml:space="preserve"> 0000-0003-1987-8553</w:t>
      </w:r>
    </w:p>
    <w:p w14:paraId="6317DD0E" w14:textId="77777777" w:rsidR="009A5CB2" w:rsidRPr="009A5CB2" w:rsidRDefault="009A5CB2" w:rsidP="009A5CB2">
      <w:pPr>
        <w:spacing w:after="0" w:line="360" w:lineRule="auto"/>
        <w:ind w:firstLine="709"/>
        <w:jc w:val="both"/>
        <w:rPr>
          <w:rFonts w:ascii="Times New Roman" w:hAnsi="Times New Roman" w:cs="Times New Roman"/>
          <w:sz w:val="24"/>
          <w:szCs w:val="24"/>
        </w:rPr>
      </w:pPr>
      <w:proofErr w:type="spellStart"/>
      <w:r w:rsidRPr="009A5CB2">
        <w:rPr>
          <w:rFonts w:ascii="Times New Roman" w:hAnsi="Times New Roman" w:cs="Times New Roman"/>
          <w:sz w:val="24"/>
          <w:szCs w:val="24"/>
        </w:rPr>
        <w:t>Kripak</w:t>
      </w:r>
      <w:proofErr w:type="spellEnd"/>
      <w:r w:rsidRPr="009A5CB2">
        <w:rPr>
          <w:rFonts w:ascii="Times New Roman" w:hAnsi="Times New Roman" w:cs="Times New Roman"/>
          <w:sz w:val="24"/>
          <w:szCs w:val="24"/>
        </w:rPr>
        <w:t xml:space="preserve"> </w:t>
      </w:r>
      <w:r w:rsidRPr="009A5CB2">
        <w:rPr>
          <w:rFonts w:ascii="Times New Roman" w:hAnsi="Times New Roman" w:cs="Times New Roman"/>
          <w:sz w:val="24"/>
          <w:szCs w:val="24"/>
          <w:lang w:val="ru-RU"/>
        </w:rPr>
        <w:t>Е</w:t>
      </w:r>
      <w:r w:rsidRPr="009A5CB2">
        <w:rPr>
          <w:rFonts w:ascii="Times New Roman" w:hAnsi="Times New Roman" w:cs="Times New Roman"/>
          <w:sz w:val="24"/>
          <w:szCs w:val="24"/>
        </w:rPr>
        <w:t>.</w:t>
      </w:r>
      <w:r w:rsidRPr="009A5CB2">
        <w:rPr>
          <w:rFonts w:ascii="Times New Roman" w:hAnsi="Times New Roman" w:cs="Times New Roman"/>
          <w:sz w:val="24"/>
          <w:szCs w:val="24"/>
          <w:lang w:val="ru-RU"/>
        </w:rPr>
        <w:t>М</w:t>
      </w:r>
      <w:r w:rsidRPr="009A5CB2">
        <w:rPr>
          <w:rFonts w:ascii="Times New Roman" w:hAnsi="Times New Roman" w:cs="Times New Roman"/>
          <w:sz w:val="24"/>
          <w:szCs w:val="24"/>
        </w:rPr>
        <w:t xml:space="preserve">.: </w:t>
      </w:r>
      <w:proofErr w:type="spellStart"/>
      <w:r w:rsidRPr="009A5CB2">
        <w:rPr>
          <w:rFonts w:ascii="Times New Roman" w:hAnsi="Times New Roman" w:cs="Times New Roman"/>
          <w:sz w:val="24"/>
          <w:szCs w:val="24"/>
          <w:shd w:val="clear" w:color="auto" w:fill="FFFFFF"/>
        </w:rPr>
        <w:t>ORCiD</w:t>
      </w:r>
      <w:proofErr w:type="spellEnd"/>
      <w:r w:rsidRPr="009A5CB2">
        <w:rPr>
          <w:rFonts w:ascii="Times New Roman" w:hAnsi="Times New Roman" w:cs="Times New Roman"/>
          <w:sz w:val="24"/>
          <w:szCs w:val="24"/>
          <w:shd w:val="clear" w:color="auto" w:fill="FFFFFF"/>
        </w:rPr>
        <w:t xml:space="preserve"> </w:t>
      </w:r>
      <w:hyperlink r:id="rId9" w:tgtFrame="_blank" w:history="1">
        <w:r w:rsidRPr="009A5CB2">
          <w:rPr>
            <w:rStyle w:val="a9"/>
            <w:rFonts w:ascii="Times New Roman" w:hAnsi="Times New Roman" w:cs="Times New Roman"/>
            <w:color w:val="auto"/>
            <w:sz w:val="24"/>
            <w:szCs w:val="24"/>
            <w:u w:val="none"/>
            <w:shd w:val="clear" w:color="auto" w:fill="FFFFFF"/>
          </w:rPr>
          <w:t>0000-0002-7578-1353</w:t>
        </w:r>
      </w:hyperlink>
    </w:p>
    <w:p w14:paraId="25885660" w14:textId="77777777" w:rsidR="009A5CB2" w:rsidRPr="009A5CB2" w:rsidRDefault="009A5CB2" w:rsidP="009A5CB2">
      <w:pPr>
        <w:shd w:val="clear" w:color="auto" w:fill="FFFFFF" w:themeFill="background1"/>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proofErr w:type="spellStart"/>
      <w:r w:rsidRPr="009A5CB2">
        <w:rPr>
          <w:rFonts w:ascii="Times New Roman" w:hAnsi="Times New Roman" w:cs="Times New Roman"/>
          <w:sz w:val="24"/>
          <w:szCs w:val="24"/>
        </w:rPr>
        <w:t>Pisarchik</w:t>
      </w:r>
      <w:proofErr w:type="spellEnd"/>
      <w:r w:rsidRPr="009A5CB2">
        <w:rPr>
          <w:rFonts w:ascii="Times New Roman" w:hAnsi="Times New Roman" w:cs="Times New Roman"/>
          <w:sz w:val="24"/>
          <w:szCs w:val="24"/>
        </w:rPr>
        <w:t xml:space="preserve"> </w:t>
      </w:r>
      <w:r w:rsidRPr="009A5CB2">
        <w:rPr>
          <w:rFonts w:ascii="Times New Roman" w:hAnsi="Times New Roman" w:cs="Times New Roman"/>
          <w:sz w:val="24"/>
          <w:szCs w:val="24"/>
          <w:lang w:val="ru-RU"/>
        </w:rPr>
        <w:t>Е</w:t>
      </w:r>
      <w:r w:rsidRPr="009A5CB2">
        <w:rPr>
          <w:rFonts w:ascii="Times New Roman" w:hAnsi="Times New Roman" w:cs="Times New Roman"/>
          <w:sz w:val="24"/>
          <w:szCs w:val="24"/>
        </w:rPr>
        <w:t>.</w:t>
      </w:r>
      <w:r w:rsidRPr="009A5CB2">
        <w:rPr>
          <w:rFonts w:ascii="Times New Roman" w:hAnsi="Times New Roman" w:cs="Times New Roman"/>
          <w:sz w:val="24"/>
          <w:szCs w:val="24"/>
          <w:lang w:val="ru-RU"/>
        </w:rPr>
        <w:t>Е</w:t>
      </w:r>
      <w:r w:rsidRPr="009A5CB2">
        <w:rPr>
          <w:rFonts w:ascii="Times New Roman" w:hAnsi="Times New Roman" w:cs="Times New Roman"/>
          <w:sz w:val="24"/>
          <w:szCs w:val="24"/>
        </w:rPr>
        <w:t xml:space="preserve">.: </w:t>
      </w:r>
      <w:proofErr w:type="spellStart"/>
      <w:r w:rsidRPr="009A5CB2">
        <w:rPr>
          <w:rFonts w:ascii="Times New Roman" w:hAnsi="Times New Roman" w:cs="Times New Roman"/>
          <w:sz w:val="24"/>
          <w:szCs w:val="24"/>
          <w:shd w:val="clear" w:color="auto" w:fill="FFFFFF"/>
        </w:rPr>
        <w:t>ORCiD</w:t>
      </w:r>
      <w:proofErr w:type="spellEnd"/>
      <w:r w:rsidRPr="009A5CB2">
        <w:rPr>
          <w:rFonts w:ascii="Times New Roman" w:hAnsi="Times New Roman" w:cs="Times New Roman"/>
          <w:sz w:val="24"/>
          <w:szCs w:val="24"/>
          <w:shd w:val="clear" w:color="auto" w:fill="FFFFFF"/>
        </w:rPr>
        <w:t xml:space="preserve"> 0000-0002-7213-1750</w:t>
      </w:r>
    </w:p>
    <w:p w14:paraId="7A66771D" w14:textId="77777777" w:rsidR="00DF08F8" w:rsidRPr="009A5CB2" w:rsidRDefault="00DF08F8" w:rsidP="00DF08F8">
      <w:pPr>
        <w:spacing w:after="0" w:line="360" w:lineRule="auto"/>
        <w:ind w:right="-1" w:firstLine="709"/>
        <w:rPr>
          <w:rFonts w:ascii="Times New Roman" w:hAnsi="Times New Roman" w:cs="Times New Roman"/>
          <w:sz w:val="24"/>
          <w:szCs w:val="24"/>
        </w:rPr>
      </w:pPr>
      <w:r w:rsidRPr="009A5CB2">
        <w:rPr>
          <w:rFonts w:ascii="Times New Roman" w:hAnsi="Times New Roman" w:cs="Times New Roman"/>
          <w:sz w:val="24"/>
          <w:szCs w:val="24"/>
        </w:rPr>
        <w:t>Corresponding Author</w:t>
      </w:r>
      <w:proofErr w:type="gramStart"/>
      <w:r w:rsidRPr="009A5CB2">
        <w:rPr>
          <w:rFonts w:ascii="Times New Roman" w:hAnsi="Times New Roman" w:cs="Times New Roman"/>
          <w:sz w:val="24"/>
          <w:szCs w:val="24"/>
        </w:rPr>
        <w:t>:                   ,</w:t>
      </w:r>
      <w:proofErr w:type="gramEnd"/>
      <w:r w:rsidRPr="009A5CB2">
        <w:rPr>
          <w:rFonts w:ascii="Times New Roman" w:hAnsi="Times New Roman" w:cs="Times New Roman"/>
          <w:sz w:val="24"/>
          <w:szCs w:val="24"/>
        </w:rPr>
        <w:t xml:space="preserve"> E-mail::</w:t>
      </w:r>
    </w:p>
    <w:p w14:paraId="47F4965C" w14:textId="0C3228D2" w:rsidR="00AC4252" w:rsidRPr="009444DA" w:rsidRDefault="00E831B4" w:rsidP="009A5CB2">
      <w:pPr>
        <w:spacing w:after="0" w:line="240" w:lineRule="auto"/>
        <w:ind w:left="709" w:right="-1"/>
        <w:jc w:val="both"/>
        <w:rPr>
          <w:rFonts w:ascii="Times New Roman" w:hAnsi="Times New Roman" w:cs="Times New Roman"/>
          <w:sz w:val="24"/>
          <w:szCs w:val="24"/>
        </w:rPr>
      </w:pPr>
      <w:r w:rsidRPr="009A5CB2">
        <w:rPr>
          <w:rFonts w:ascii="Times New Roman" w:hAnsi="Times New Roman" w:cs="Times New Roman"/>
          <w:b/>
          <w:sz w:val="24"/>
          <w:szCs w:val="24"/>
        </w:rPr>
        <w:t>Abstract:</w:t>
      </w:r>
      <w:r w:rsidR="009A5CB2" w:rsidRPr="009A5CB2">
        <w:rPr>
          <w:rFonts w:ascii="Times New Roman" w:hAnsi="Times New Roman" w:cs="Times New Roman"/>
          <w:b/>
          <w:sz w:val="24"/>
          <w:szCs w:val="24"/>
        </w:rPr>
        <w:t xml:space="preserve"> </w:t>
      </w:r>
      <w:r w:rsidR="00AC4252" w:rsidRPr="009A5CB2">
        <w:rPr>
          <w:rFonts w:ascii="Times New Roman" w:hAnsi="Times New Roman" w:cs="Times New Roman"/>
          <w:sz w:val="24"/>
          <w:szCs w:val="24"/>
        </w:rPr>
        <w:t xml:space="preserve">The research paper involves the construction of panel data binary response models to forecast the probability of a credit institution's license withdrawal based on its financial performance, including the construction of logit and </w:t>
      </w:r>
      <w:proofErr w:type="spellStart"/>
      <w:r w:rsidR="00AC4252" w:rsidRPr="009A5CB2">
        <w:rPr>
          <w:rFonts w:ascii="Times New Roman" w:hAnsi="Times New Roman" w:cs="Times New Roman"/>
          <w:sz w:val="24"/>
          <w:szCs w:val="24"/>
        </w:rPr>
        <w:t>probit</w:t>
      </w:r>
      <w:proofErr w:type="spellEnd"/>
      <w:r w:rsidR="00AC4252" w:rsidRPr="009A5CB2">
        <w:rPr>
          <w:rFonts w:ascii="Times New Roman" w:hAnsi="Times New Roman" w:cs="Times New Roman"/>
          <w:sz w:val="24"/>
          <w:szCs w:val="24"/>
        </w:rPr>
        <w:t xml:space="preserve"> models using various sets of source data offers a technique for shaping a general model.</w:t>
      </w:r>
    </w:p>
    <w:p w14:paraId="0D3926F5" w14:textId="77777777" w:rsidR="000B6E04" w:rsidRPr="009444DA" w:rsidRDefault="000B6E04" w:rsidP="009A5CB2">
      <w:pPr>
        <w:spacing w:after="0" w:line="240" w:lineRule="auto"/>
        <w:ind w:left="709" w:right="-1"/>
        <w:jc w:val="both"/>
        <w:rPr>
          <w:rFonts w:ascii="Times New Roman" w:hAnsi="Times New Roman" w:cs="Times New Roman"/>
          <w:sz w:val="24"/>
          <w:szCs w:val="24"/>
        </w:rPr>
      </w:pPr>
    </w:p>
    <w:p w14:paraId="64984F2E" w14:textId="77777777" w:rsidR="000D5B1E" w:rsidRPr="000B6E04" w:rsidRDefault="00763D9B" w:rsidP="009A5CB2">
      <w:pPr>
        <w:spacing w:after="0" w:line="360" w:lineRule="auto"/>
        <w:ind w:left="709" w:right="-1"/>
        <w:jc w:val="both"/>
        <w:rPr>
          <w:rFonts w:ascii="Times New Roman" w:hAnsi="Times New Roman" w:cs="Times New Roman"/>
          <w:sz w:val="24"/>
          <w:szCs w:val="24"/>
        </w:rPr>
      </w:pPr>
      <w:r w:rsidRPr="009A5CB2">
        <w:rPr>
          <w:rFonts w:ascii="Times New Roman" w:hAnsi="Times New Roman" w:cs="Times New Roman"/>
          <w:b/>
          <w:sz w:val="24"/>
          <w:szCs w:val="24"/>
        </w:rPr>
        <w:t>Keywords</w:t>
      </w:r>
      <w:r w:rsidRPr="009A5CB2">
        <w:rPr>
          <w:rFonts w:ascii="Times New Roman" w:hAnsi="Times New Roman" w:cs="Times New Roman"/>
          <w:sz w:val="24"/>
          <w:szCs w:val="24"/>
        </w:rPr>
        <w:t>: credit institutions, panel data, binary response models, license withdrawal</w:t>
      </w:r>
    </w:p>
    <w:p w14:paraId="4222912B" w14:textId="77777777" w:rsidR="00763D9B" w:rsidRPr="00C57DFA" w:rsidRDefault="00096DE6" w:rsidP="004B0B40">
      <w:pPr>
        <w:pStyle w:val="1"/>
        <w:spacing w:before="0" w:line="360" w:lineRule="auto"/>
        <w:ind w:right="-1"/>
        <w:rPr>
          <w:rFonts w:ascii="Times New Roman" w:hAnsi="Times New Roman" w:cs="Times New Roman"/>
          <w:b/>
          <w:color w:val="auto"/>
          <w:sz w:val="28"/>
          <w:szCs w:val="28"/>
        </w:rPr>
      </w:pPr>
      <w:r w:rsidRPr="00C57DFA">
        <w:rPr>
          <w:rFonts w:ascii="Times New Roman" w:hAnsi="Times New Roman" w:cs="Times New Roman"/>
          <w:b/>
          <w:color w:val="auto"/>
          <w:sz w:val="28"/>
          <w:szCs w:val="28"/>
        </w:rPr>
        <w:t>Introduction</w:t>
      </w:r>
    </w:p>
    <w:p w14:paraId="43280952" w14:textId="77777777" w:rsidR="00D82706" w:rsidRPr="00C57DFA" w:rsidRDefault="00D82706" w:rsidP="004B0B40">
      <w:pPr>
        <w:spacing w:after="0" w:line="360" w:lineRule="auto"/>
        <w:ind w:right="-1"/>
        <w:jc w:val="both"/>
        <w:rPr>
          <w:rFonts w:ascii="Times New Roman" w:hAnsi="Times New Roman" w:cs="Times New Roman"/>
          <w:sz w:val="28"/>
          <w:szCs w:val="28"/>
        </w:rPr>
      </w:pPr>
      <w:r w:rsidRPr="00C57DFA">
        <w:rPr>
          <w:rFonts w:ascii="Times New Roman" w:hAnsi="Times New Roman" w:cs="Times New Roman"/>
          <w:sz w:val="28"/>
          <w:szCs w:val="28"/>
        </w:rPr>
        <w:t>The banking system is crucial for stable and resilient national economy. However, according to the Central Bank [1], more and more credit institutions lose their licenses (Fig. 1).</w:t>
      </w:r>
    </w:p>
    <w:p w14:paraId="71FA5B70" w14:textId="77777777" w:rsidR="000D5B1E" w:rsidRDefault="000D5B1E" w:rsidP="004B0B40">
      <w:pPr>
        <w:spacing w:after="0" w:line="360" w:lineRule="auto"/>
        <w:ind w:right="-1"/>
        <w:jc w:val="both"/>
        <w:rPr>
          <w:rFonts w:ascii="Times New Roman" w:hAnsi="Times New Roman" w:cs="Times New Roman"/>
          <w:sz w:val="28"/>
          <w:szCs w:val="28"/>
        </w:rPr>
      </w:pPr>
      <w:r w:rsidRPr="00C57DFA">
        <w:rPr>
          <w:rFonts w:ascii="Times New Roman" w:hAnsi="Times New Roman" w:cs="Times New Roman"/>
          <w:sz w:val="28"/>
          <w:szCs w:val="28"/>
        </w:rPr>
        <w:t>Therefore, more effective identification of credit institutions, which are at high risk of losing their licenses, and visualization of research findings for prompt decision-making are relevant to the bank monitoring challenges of today. In this research paper, we are modeling the credit institution's license withdrawal using binary response models with panel data that make it possible to consider individual features of economic objects over time.</w:t>
      </w:r>
    </w:p>
    <w:p w14:paraId="2C92D0EC" w14:textId="77777777" w:rsidR="004B0B40" w:rsidRPr="00C57DFA" w:rsidRDefault="004B0B40" w:rsidP="004B0B40">
      <w:pPr>
        <w:spacing w:after="0" w:line="360" w:lineRule="auto"/>
        <w:ind w:right="-1"/>
        <w:jc w:val="center"/>
        <w:rPr>
          <w:rFonts w:ascii="Times New Roman" w:hAnsi="Times New Roman" w:cs="Times New Roman"/>
          <w:sz w:val="28"/>
          <w:szCs w:val="28"/>
        </w:rPr>
      </w:pPr>
      <w:r>
        <w:rPr>
          <w:rFonts w:ascii="Times New Roman" w:hAnsi="Times New Roman" w:cs="Times New Roman"/>
          <w:noProof/>
          <w:sz w:val="28"/>
          <w:szCs w:val="28"/>
          <w:lang w:val="ru-RU" w:eastAsia="ru-RU" w:bidi="ar-SA"/>
        </w:rPr>
        <w:drawing>
          <wp:inline distT="0" distB="0" distL="0" distR="0" wp14:anchorId="0A8AF2B6" wp14:editId="0F8DF787">
            <wp:extent cx="3627783" cy="206508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0137" cy="2072119"/>
                    </a:xfrm>
                    <a:prstGeom prst="rect">
                      <a:avLst/>
                    </a:prstGeom>
                    <a:noFill/>
                  </pic:spPr>
                </pic:pic>
              </a:graphicData>
            </a:graphic>
          </wp:inline>
        </w:drawing>
      </w:r>
    </w:p>
    <w:p w14:paraId="1765C3AE" w14:textId="77777777" w:rsidR="00621742" w:rsidRPr="004B0B40" w:rsidRDefault="00D82706" w:rsidP="004B0B40">
      <w:pPr>
        <w:spacing w:after="0" w:line="360" w:lineRule="auto"/>
        <w:ind w:right="-1"/>
        <w:jc w:val="center"/>
        <w:rPr>
          <w:rFonts w:ascii="Times New Roman" w:hAnsi="Times New Roman" w:cs="Times New Roman"/>
          <w:sz w:val="20"/>
          <w:szCs w:val="20"/>
        </w:rPr>
      </w:pPr>
      <w:r w:rsidRPr="004B0B40">
        <w:rPr>
          <w:rFonts w:ascii="Times New Roman" w:hAnsi="Times New Roman" w:cs="Times New Roman"/>
          <w:sz w:val="20"/>
          <w:szCs w:val="20"/>
        </w:rPr>
        <w:t>Fig. 1 —</w:t>
      </w:r>
      <w:r w:rsidR="008C2599" w:rsidRPr="004B0B40">
        <w:rPr>
          <w:rFonts w:ascii="Times New Roman" w:hAnsi="Times New Roman" w:cs="Times New Roman"/>
          <w:sz w:val="20"/>
          <w:szCs w:val="20"/>
        </w:rPr>
        <w:t xml:space="preserve"> C</w:t>
      </w:r>
      <w:r w:rsidRPr="004B0B40">
        <w:rPr>
          <w:rFonts w:ascii="Times New Roman" w:hAnsi="Times New Roman" w:cs="Times New Roman"/>
          <w:sz w:val="20"/>
          <w:szCs w:val="20"/>
        </w:rPr>
        <w:t>redit institutions with withdrawn licenses over time</w:t>
      </w:r>
    </w:p>
    <w:p w14:paraId="3610AACD" w14:textId="77777777" w:rsidR="00E20328" w:rsidRPr="00C57DFA" w:rsidRDefault="00E20328" w:rsidP="004B0B40">
      <w:pPr>
        <w:spacing w:after="0" w:line="360" w:lineRule="auto"/>
        <w:ind w:right="-1"/>
        <w:jc w:val="both"/>
        <w:rPr>
          <w:rFonts w:ascii="Times New Roman" w:hAnsi="Times New Roman" w:cs="Times New Roman"/>
          <w:sz w:val="28"/>
          <w:szCs w:val="28"/>
        </w:rPr>
      </w:pPr>
      <w:r w:rsidRPr="00C57DFA">
        <w:rPr>
          <w:rFonts w:ascii="Times New Roman" w:hAnsi="Times New Roman" w:cs="Times New Roman"/>
          <w:sz w:val="28"/>
          <w:szCs w:val="28"/>
        </w:rPr>
        <w:lastRenderedPageBreak/>
        <w:t>Forecasting the probability of a credit institution's license withdrawal is the right way to safeguard clients' money, increase their trust in government initiatives, recover national financial system, avoid federal law violations, and mitigate adverse consequences of a credit institution winding up.</w:t>
      </w:r>
    </w:p>
    <w:p w14:paraId="387543FA" w14:textId="77777777" w:rsidR="00763D9B" w:rsidRPr="00C57DFA" w:rsidRDefault="006C30ED" w:rsidP="004B0B40">
      <w:pPr>
        <w:pStyle w:val="1"/>
        <w:spacing w:before="0" w:line="360" w:lineRule="auto"/>
        <w:ind w:right="-1"/>
        <w:rPr>
          <w:rFonts w:ascii="Times New Roman" w:hAnsi="Times New Roman" w:cs="Times New Roman"/>
          <w:b/>
          <w:color w:val="auto"/>
          <w:sz w:val="28"/>
          <w:szCs w:val="28"/>
        </w:rPr>
      </w:pPr>
      <w:r w:rsidRPr="00C57DFA">
        <w:rPr>
          <w:rFonts w:ascii="Times New Roman" w:hAnsi="Times New Roman" w:cs="Times New Roman"/>
          <w:b/>
          <w:color w:val="auto"/>
          <w:sz w:val="28"/>
          <w:szCs w:val="28"/>
        </w:rPr>
        <w:t>Shaping and analyzing source data</w:t>
      </w:r>
    </w:p>
    <w:p w14:paraId="05BDAEEE" w14:textId="77777777" w:rsidR="00763D9B" w:rsidRPr="00C57DFA" w:rsidRDefault="00D01CD9" w:rsidP="004B0B40">
      <w:pPr>
        <w:pStyle w:val="u"/>
        <w:shd w:val="clear" w:color="auto" w:fill="FFFFFF"/>
        <w:spacing w:before="0" w:beforeAutospacing="0" w:after="0" w:afterAutospacing="0" w:line="360" w:lineRule="auto"/>
        <w:ind w:right="-1"/>
        <w:jc w:val="both"/>
        <w:rPr>
          <w:sz w:val="28"/>
          <w:szCs w:val="28"/>
        </w:rPr>
      </w:pPr>
      <w:r w:rsidRPr="00C57DFA">
        <w:rPr>
          <w:color w:val="000000"/>
          <w:sz w:val="28"/>
          <w:szCs w:val="28"/>
        </w:rPr>
        <w:t>The research paper takes monthly performance indicators of some 1,000 Russian banks over the period from 2008 to 2015, available on the banki.ru info portal</w:t>
      </w:r>
      <w:r w:rsidRPr="00C57DFA">
        <w:rPr>
          <w:sz w:val="28"/>
          <w:szCs w:val="28"/>
        </w:rPr>
        <w:t xml:space="preserve"> [2], </w:t>
      </w:r>
      <w:r w:rsidRPr="00C57DFA">
        <w:rPr>
          <w:color w:val="000000"/>
          <w:sz w:val="28"/>
          <w:szCs w:val="28"/>
        </w:rPr>
        <w:t xml:space="preserve">with the banks being ranked by a set of indicators based on the data from statement 101 posted by the Central Bank of Russia on its website, statement 102 (net profit) and 134 (equity). </w:t>
      </w:r>
      <w:r w:rsidRPr="00C57DFA">
        <w:rPr>
          <w:sz w:val="28"/>
          <w:szCs w:val="28"/>
        </w:rPr>
        <w:t>The indicator calculation technique is described on the website banki.ru. For the composition and hierarchy of analyzed indicators, see Fig. 2. The elaborated training sampling contains Russian credit institutions failing to comply with federal laws, covers the period from 2008 through 2013, and specifies the license withdrawal cause and details. The models are tested using the 2014-2015 data.</w:t>
      </w:r>
    </w:p>
    <w:p w14:paraId="58ECA385" w14:textId="77777777" w:rsidR="00763D9B" w:rsidRPr="00C57DFA" w:rsidRDefault="0069377E" w:rsidP="00222039">
      <w:pPr>
        <w:spacing w:after="0" w:line="360" w:lineRule="auto"/>
        <w:ind w:right="-1"/>
        <w:jc w:val="center"/>
        <w:rPr>
          <w:rFonts w:ascii="Times New Roman" w:hAnsi="Times New Roman" w:cs="Times New Roman"/>
          <w:sz w:val="28"/>
          <w:szCs w:val="28"/>
        </w:rPr>
      </w:pPr>
      <w:r>
        <w:rPr>
          <w:rFonts w:ascii="Times New Roman" w:hAnsi="Times New Roman" w:cs="Times New Roman"/>
          <w:noProof/>
          <w:sz w:val="28"/>
          <w:szCs w:val="28"/>
          <w:lang w:val="ru-RU" w:eastAsia="ru-RU" w:bidi="ar-SA"/>
        </w:rPr>
        <w:drawing>
          <wp:inline distT="0" distB="0" distL="0" distR="0" wp14:anchorId="545DAD7D" wp14:editId="28D57E23">
            <wp:extent cx="5466715" cy="2554605"/>
            <wp:effectExtent l="0" t="0" r="635" b="0"/>
            <wp:docPr id="3" name="Рисунок 1" descr="Точечный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очечный рисунок"/>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6715" cy="2554605"/>
                    </a:xfrm>
                    <a:prstGeom prst="rect">
                      <a:avLst/>
                    </a:prstGeom>
                    <a:noFill/>
                    <a:ln>
                      <a:noFill/>
                    </a:ln>
                  </pic:spPr>
                </pic:pic>
              </a:graphicData>
            </a:graphic>
          </wp:inline>
        </w:drawing>
      </w:r>
    </w:p>
    <w:p w14:paraId="094A14F7" w14:textId="77777777" w:rsidR="00763D9B" w:rsidRPr="004B0B40" w:rsidRDefault="003512D2" w:rsidP="004B0B40">
      <w:pPr>
        <w:spacing w:after="0" w:line="360" w:lineRule="auto"/>
        <w:ind w:right="-1"/>
        <w:jc w:val="center"/>
        <w:rPr>
          <w:rFonts w:ascii="Times New Roman" w:hAnsi="Times New Roman" w:cs="Times New Roman"/>
          <w:sz w:val="20"/>
          <w:szCs w:val="20"/>
        </w:rPr>
      </w:pPr>
      <w:r w:rsidRPr="004B0B40">
        <w:rPr>
          <w:rFonts w:ascii="Times New Roman" w:hAnsi="Times New Roman" w:cs="Times New Roman"/>
          <w:sz w:val="20"/>
          <w:szCs w:val="20"/>
        </w:rPr>
        <w:t>Fig. 2 — Financial reporting indicators</w:t>
      </w:r>
    </w:p>
    <w:p w14:paraId="7A12ED91" w14:textId="77777777" w:rsidR="004C5155" w:rsidRPr="00C57DFA" w:rsidRDefault="00A453C6" w:rsidP="004B0B40">
      <w:pPr>
        <w:spacing w:after="0" w:line="360" w:lineRule="auto"/>
        <w:ind w:right="-1"/>
        <w:jc w:val="both"/>
        <w:rPr>
          <w:rFonts w:ascii="Times New Roman" w:hAnsi="Times New Roman" w:cs="Times New Roman"/>
          <w:sz w:val="28"/>
          <w:szCs w:val="28"/>
        </w:rPr>
      </w:pPr>
      <w:r w:rsidRPr="00C57DFA">
        <w:rPr>
          <w:rFonts w:ascii="Times New Roman" w:hAnsi="Times New Roman" w:cs="Times New Roman"/>
          <w:sz w:val="28"/>
          <w:szCs w:val="28"/>
        </w:rPr>
        <w:t xml:space="preserve">To take the macroeconomic environment into account, the research involved the following additional indicators: per capita GDP in Russia with account of the purchasing power parity (in current prices, RUB), equity investments in the Russian Federation (million RUB), annual average oil prices (RUB per barrel), and the refinancing rate, as posted by the Federal State Statistics Service [3] and the Central </w:t>
      </w:r>
      <w:r w:rsidRPr="00C57DFA">
        <w:rPr>
          <w:rFonts w:ascii="Times New Roman" w:hAnsi="Times New Roman" w:cs="Times New Roman"/>
          <w:sz w:val="28"/>
          <w:szCs w:val="28"/>
        </w:rPr>
        <w:lastRenderedPageBreak/>
        <w:t>Bank on their websites. The above indicators may indirectly i</w:t>
      </w:r>
      <w:r w:rsidR="00C370A0" w:rsidRPr="00C57DFA">
        <w:rPr>
          <w:rFonts w:ascii="Times New Roman" w:hAnsi="Times New Roman" w:cs="Times New Roman"/>
          <w:sz w:val="28"/>
          <w:szCs w:val="28"/>
        </w:rPr>
        <w:t>llustrate what i</w:t>
      </w:r>
      <w:r w:rsidRPr="00C57DFA">
        <w:rPr>
          <w:rFonts w:ascii="Times New Roman" w:hAnsi="Times New Roman" w:cs="Times New Roman"/>
          <w:sz w:val="28"/>
          <w:szCs w:val="28"/>
        </w:rPr>
        <w:t>s going on in Russia today.</w:t>
      </w:r>
    </w:p>
    <w:p w14:paraId="4330C977" w14:textId="77777777" w:rsidR="00763D9B" w:rsidRPr="00C57DFA" w:rsidRDefault="00763D9B" w:rsidP="004B0B40">
      <w:pPr>
        <w:spacing w:after="0" w:line="360" w:lineRule="auto"/>
        <w:ind w:right="-1"/>
        <w:jc w:val="both"/>
        <w:rPr>
          <w:rFonts w:ascii="Times New Roman" w:hAnsi="Times New Roman" w:cs="Times New Roman"/>
          <w:sz w:val="28"/>
          <w:szCs w:val="28"/>
        </w:rPr>
      </w:pPr>
      <w:r w:rsidRPr="00C57DFA">
        <w:rPr>
          <w:rFonts w:ascii="Times New Roman" w:hAnsi="Times New Roman" w:cs="Times New Roman"/>
          <w:sz w:val="28"/>
          <w:szCs w:val="28"/>
        </w:rPr>
        <w:t xml:space="preserve">To predict the license withdrawal probability, we use the binary response models with panel data; in particular, logit and </w:t>
      </w:r>
      <w:proofErr w:type="spellStart"/>
      <w:r w:rsidRPr="00C57DFA">
        <w:rPr>
          <w:rFonts w:ascii="Times New Roman" w:hAnsi="Times New Roman" w:cs="Times New Roman"/>
          <w:sz w:val="28"/>
          <w:szCs w:val="28"/>
        </w:rPr>
        <w:t>probit</w:t>
      </w:r>
      <w:proofErr w:type="spellEnd"/>
      <w:r w:rsidRPr="00C57DFA">
        <w:rPr>
          <w:rFonts w:ascii="Times New Roman" w:hAnsi="Times New Roman" w:cs="Times New Roman"/>
          <w:sz w:val="28"/>
          <w:szCs w:val="28"/>
        </w:rPr>
        <w:t xml:space="preserve"> regression models. The panel data are derived from the same economic units or objects being observed over consecutive periods of time [4]. Binary response models with panel data mean models where a dependent variable is of binary nature, i.e., may return 0 or 1, as in examples (1-2).</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1"/>
        <w:gridCol w:w="683"/>
      </w:tblGrid>
      <w:tr w:rsidR="00763D9B" w:rsidRPr="00C57DFA" w14:paraId="2FAC9AD0" w14:textId="77777777" w:rsidTr="004560E3">
        <w:tc>
          <w:tcPr>
            <w:tcW w:w="9171" w:type="dxa"/>
          </w:tcPr>
          <w:p w14:paraId="41ADA263" w14:textId="77777777" w:rsidR="00763D9B" w:rsidRPr="00C57DFA" w:rsidRDefault="009555F0" w:rsidP="004B0B40">
            <w:pPr>
              <w:spacing w:after="0" w:line="360" w:lineRule="auto"/>
              <w:ind w:right="-1"/>
              <w:jc w:val="both"/>
              <w:rPr>
                <w:rFonts w:ascii="Times New Roman" w:eastAsia="Times New Roman" w:hAnsi="Times New Roman" w:cs="Times New Roman"/>
                <w:i/>
                <w:sz w:val="28"/>
                <w:szCs w:val="28"/>
              </w:rPr>
            </w:pPr>
            <m:oMathPara>
              <m:oMath>
                <m:sSubSup>
                  <m:sSubSupPr>
                    <m:ctrlPr>
                      <w:rPr>
                        <w:rFonts w:ascii="Cambria Math" w:eastAsia="Calibri" w:hAnsi="Cambria Math" w:cs="Times New Roman"/>
                        <w:bCs/>
                        <w:i/>
                        <w:iCs/>
                        <w:sz w:val="28"/>
                        <w:szCs w:val="28"/>
                      </w:rPr>
                    </m:ctrlPr>
                  </m:sSubSupPr>
                  <m:e>
                    <m:r>
                      <w:rPr>
                        <w:rFonts w:ascii="Cambria Math" w:eastAsia="Calibri" w:hAnsi="Cambria Math" w:cs="Times New Roman"/>
                        <w:sz w:val="28"/>
                        <w:szCs w:val="28"/>
                      </w:rPr>
                      <m:t>y</m:t>
                    </m:r>
                  </m:e>
                  <m:sub>
                    <m:r>
                      <w:rPr>
                        <w:rFonts w:ascii="Cambria Math" w:eastAsia="Calibri" w:hAnsi="Cambria Math" w:cs="Times New Roman"/>
                        <w:sz w:val="28"/>
                        <w:szCs w:val="28"/>
                      </w:rPr>
                      <m:t>it</m:t>
                    </m:r>
                  </m:sub>
                  <m:sup>
                    <m:r>
                      <w:rPr>
                        <w:rFonts w:ascii="Cambria Math" w:eastAsia="Calibri" w:hAnsi="Cambria Math" w:cs="Times New Roman"/>
                        <w:sz w:val="28"/>
                        <w:szCs w:val="28"/>
                      </w:rPr>
                      <m:t>*</m:t>
                    </m:r>
                  </m:sup>
                </m:sSubSup>
                <m:r>
                  <w:rPr>
                    <w:rFonts w:ascii="Cambria Math" w:eastAsia="Calibri" w:hAnsi="Cambria Math" w:cs="Times New Roman"/>
                    <w:sz w:val="28"/>
                    <w:szCs w:val="28"/>
                  </w:rPr>
                  <m:t>=</m:t>
                </m:r>
                <m:sSub>
                  <m:sSubPr>
                    <m:ctrlPr>
                      <w:rPr>
                        <w:rFonts w:ascii="Cambria Math" w:eastAsia="Calibri" w:hAnsi="Cambria Math" w:cs="Times New Roman"/>
                        <w:bCs/>
                        <w:i/>
                        <w:iCs/>
                        <w:sz w:val="28"/>
                        <w:szCs w:val="28"/>
                      </w:rPr>
                    </m:ctrlPr>
                  </m:sSubPr>
                  <m:e>
                    <m:r>
                      <w:rPr>
                        <w:rFonts w:ascii="Cambria Math" w:eastAsia="Calibri" w:hAnsi="Cambria Math" w:cs="Times New Roman"/>
                        <w:sz w:val="28"/>
                        <w:szCs w:val="28"/>
                      </w:rPr>
                      <m:t>x</m:t>
                    </m:r>
                  </m:e>
                  <m:sub>
                    <m:r>
                      <w:rPr>
                        <w:rFonts w:ascii="Cambria Math" w:eastAsia="Calibri" w:hAnsi="Cambria Math" w:cs="Times New Roman"/>
                        <w:sz w:val="28"/>
                        <w:szCs w:val="28"/>
                      </w:rPr>
                      <m:t>it</m:t>
                    </m:r>
                  </m:sub>
                </m:sSub>
                <m:r>
                  <w:rPr>
                    <w:rFonts w:ascii="Cambria Math" w:eastAsia="Calibri" w:hAnsi="Cambria Math" w:cs="Times New Roman"/>
                    <w:sz w:val="28"/>
                    <w:szCs w:val="28"/>
                  </w:rPr>
                  <m:t>β+</m:t>
                </m:r>
                <m:sSub>
                  <m:sSubPr>
                    <m:ctrlPr>
                      <w:rPr>
                        <w:rFonts w:ascii="Cambria Math" w:eastAsia="Calibri" w:hAnsi="Cambria Math" w:cs="Times New Roman"/>
                        <w:bCs/>
                        <w:i/>
                        <w:iCs/>
                        <w:sz w:val="28"/>
                        <w:szCs w:val="28"/>
                      </w:rPr>
                    </m:ctrlPr>
                  </m:sSubPr>
                  <m:e>
                    <m:r>
                      <w:rPr>
                        <w:rFonts w:ascii="Cambria Math" w:eastAsia="Calibri" w:hAnsi="Cambria Math" w:cs="Times New Roman"/>
                        <w:sz w:val="28"/>
                        <w:szCs w:val="28"/>
                      </w:rPr>
                      <m:t>α</m:t>
                    </m:r>
                  </m:e>
                  <m:sub>
                    <m:r>
                      <w:rPr>
                        <w:rFonts w:ascii="Cambria Math" w:eastAsia="Calibri" w:hAnsi="Cambria Math" w:cs="Times New Roman"/>
                        <w:sz w:val="28"/>
                        <w:szCs w:val="28"/>
                      </w:rPr>
                      <m:t>i</m:t>
                    </m:r>
                  </m:sub>
                </m:sSub>
                <m:r>
                  <w:rPr>
                    <w:rFonts w:ascii="Cambria Math" w:eastAsia="Calibri" w:hAnsi="Cambria Math" w:cs="Times New Roman"/>
                    <w:sz w:val="28"/>
                    <w:szCs w:val="28"/>
                  </w:rPr>
                  <m:t>+</m:t>
                </m:r>
                <m:sSub>
                  <m:sSubPr>
                    <m:ctrlPr>
                      <w:rPr>
                        <w:rFonts w:ascii="Cambria Math" w:eastAsia="Calibri" w:hAnsi="Cambria Math" w:cs="Times New Roman"/>
                        <w:bCs/>
                        <w:i/>
                        <w:iCs/>
                        <w:sz w:val="28"/>
                        <w:szCs w:val="28"/>
                      </w:rPr>
                    </m:ctrlPr>
                  </m:sSubPr>
                  <m:e>
                    <m:r>
                      <w:rPr>
                        <w:rFonts w:ascii="Cambria Math" w:eastAsia="Calibri" w:hAnsi="Cambria Math" w:cs="Times New Roman"/>
                        <w:sz w:val="28"/>
                        <w:szCs w:val="28"/>
                      </w:rPr>
                      <m:t>ε</m:t>
                    </m:r>
                  </m:e>
                  <m:sub>
                    <m:r>
                      <w:rPr>
                        <w:rFonts w:ascii="Cambria Math" w:eastAsia="Calibri" w:hAnsi="Cambria Math" w:cs="Times New Roman"/>
                        <w:sz w:val="28"/>
                        <w:szCs w:val="28"/>
                      </w:rPr>
                      <m:t>it</m:t>
                    </m:r>
                  </m:sub>
                </m:sSub>
                <m:r>
                  <w:rPr>
                    <w:rFonts w:ascii="Cambria Math" w:eastAsia="Times New Roman" w:hAnsi="Cambria Math" w:cs="Times New Roman"/>
                    <w:sz w:val="28"/>
                    <w:szCs w:val="28"/>
                  </w:rPr>
                  <m:t xml:space="preserve">, </m:t>
                </m:r>
              </m:oMath>
            </m:oMathPara>
          </w:p>
        </w:tc>
        <w:tc>
          <w:tcPr>
            <w:tcW w:w="683" w:type="dxa"/>
            <w:vAlign w:val="center"/>
          </w:tcPr>
          <w:p w14:paraId="3D3B86BB" w14:textId="77777777" w:rsidR="00763D9B" w:rsidRPr="00C57DFA" w:rsidRDefault="00763D9B" w:rsidP="004B0B40">
            <w:pPr>
              <w:spacing w:after="0" w:line="360" w:lineRule="auto"/>
              <w:ind w:right="-1"/>
              <w:jc w:val="both"/>
              <w:rPr>
                <w:rFonts w:ascii="Times New Roman" w:eastAsia="Times New Roman" w:hAnsi="Times New Roman" w:cs="Times New Roman"/>
                <w:sz w:val="28"/>
                <w:szCs w:val="28"/>
              </w:rPr>
            </w:pPr>
            <w:r w:rsidRPr="00C57DFA">
              <w:rPr>
                <w:rFonts w:ascii="Times New Roman" w:hAnsi="Times New Roman" w:cs="Times New Roman"/>
                <w:sz w:val="28"/>
                <w:szCs w:val="28"/>
              </w:rPr>
              <w:t>(1)</w:t>
            </w:r>
          </w:p>
        </w:tc>
      </w:tr>
    </w:tbl>
    <w:p w14:paraId="0BBBE01A" w14:textId="77777777" w:rsidR="00763D9B" w:rsidRPr="00C57DFA" w:rsidRDefault="00763D9B" w:rsidP="004B0B40">
      <w:pPr>
        <w:spacing w:after="0" w:line="360" w:lineRule="auto"/>
        <w:ind w:right="-1"/>
        <w:jc w:val="both"/>
        <w:rPr>
          <w:rFonts w:ascii="Times New Roman" w:eastAsia="Times New Roman" w:hAnsi="Times New Roman" w:cs="Times New Roman"/>
          <w:iCs/>
          <w:sz w:val="28"/>
          <w:szCs w:val="28"/>
        </w:rPr>
      </w:pPr>
      <w:r w:rsidRPr="00C57DFA">
        <w:rPr>
          <w:rFonts w:ascii="Times New Roman" w:hAnsi="Times New Roman" w:cs="Times New Roman"/>
          <w:sz w:val="28"/>
          <w:szCs w:val="28"/>
        </w:rPr>
        <w:t xml:space="preserve">where </w:t>
      </w:r>
      <m:oMath>
        <m:sSub>
          <m:sSubPr>
            <m:ctrlPr>
              <w:rPr>
                <w:rFonts w:ascii="Cambria Math" w:eastAsia="Times New Roman" w:hAnsi="Cambria Math" w:cs="Times New Roman"/>
                <w:i/>
                <w:iCs/>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it</m:t>
            </m:r>
          </m:sub>
        </m:sSub>
      </m:oMath>
      <w:r w:rsidRPr="00C57DFA">
        <w:rPr>
          <w:rFonts w:ascii="Times New Roman" w:hAnsi="Times New Roman" w:cs="Times New Roman"/>
          <w:i/>
          <w:sz w:val="28"/>
          <w:szCs w:val="28"/>
        </w:rPr>
        <w:t xml:space="preserve"> </w:t>
      </w:r>
      <w:r w:rsidRPr="00C57DFA">
        <w:rPr>
          <w:rFonts w:ascii="Times New Roman" w:hAnsi="Times New Roman" w:cs="Times New Roman"/>
          <w:sz w:val="28"/>
          <w:szCs w:val="28"/>
        </w:rPr>
        <w:t xml:space="preserve">denotes the values of </w:t>
      </w:r>
      <w:proofErr w:type="spellStart"/>
      <w:r w:rsidRPr="00C57DFA">
        <w:rPr>
          <w:rFonts w:ascii="Times New Roman" w:hAnsi="Times New Roman" w:cs="Times New Roman"/>
          <w:sz w:val="28"/>
          <w:szCs w:val="28"/>
        </w:rPr>
        <w:t>regressors</w:t>
      </w:r>
      <w:proofErr w:type="spellEnd"/>
      <w:r w:rsidRPr="00C57DFA">
        <w:rPr>
          <w:rFonts w:ascii="Times New Roman" w:hAnsi="Times New Roman" w:cs="Times New Roman"/>
          <w:sz w:val="28"/>
          <w:szCs w:val="28"/>
        </w:rPr>
        <w:t xml:space="preserve"> on object </w:t>
      </w:r>
      <w:proofErr w:type="spellStart"/>
      <w:r w:rsidRPr="00C57DFA">
        <w:rPr>
          <w:rFonts w:ascii="Times New Roman" w:hAnsi="Times New Roman" w:cs="Times New Roman"/>
          <w:i/>
          <w:sz w:val="28"/>
          <w:szCs w:val="28"/>
        </w:rPr>
        <w:t>i</w:t>
      </w:r>
      <w:proofErr w:type="spellEnd"/>
      <w:r w:rsidR="00C370A0" w:rsidRPr="00C57DFA">
        <w:rPr>
          <w:rFonts w:ascii="Times New Roman" w:hAnsi="Times New Roman" w:cs="Times New Roman"/>
          <w:sz w:val="28"/>
          <w:szCs w:val="28"/>
        </w:rPr>
        <w:t xml:space="preserve"> in moment of time</w:t>
      </w:r>
      <w:r w:rsidRPr="00C57DFA">
        <w:rPr>
          <w:rFonts w:ascii="Times New Roman" w:hAnsi="Times New Roman" w:cs="Times New Roman"/>
          <w:sz w:val="28"/>
          <w:szCs w:val="28"/>
        </w:rPr>
        <w:t xml:space="preserve"> </w:t>
      </w:r>
      <w:r w:rsidRPr="00C57DFA">
        <w:rPr>
          <w:rFonts w:ascii="Times New Roman" w:hAnsi="Times New Roman" w:cs="Times New Roman"/>
          <w:i/>
          <w:sz w:val="28"/>
          <w:szCs w:val="28"/>
        </w:rPr>
        <w:t>t</w:t>
      </w:r>
      <w:r w:rsidRPr="00C57DFA">
        <w:rPr>
          <w:rFonts w:ascii="Times New Roman" w:hAnsi="Times New Roman" w:cs="Times New Roman"/>
          <w:sz w:val="28"/>
          <w:szCs w:val="28"/>
        </w:rPr>
        <w:t xml:space="preserve"> (dimensional vector </w:t>
      </w:r>
      <w:r w:rsidRPr="00C57DFA">
        <w:rPr>
          <w:rFonts w:ascii="Times New Roman" w:hAnsi="Times New Roman" w:cs="Times New Roman"/>
          <w:i/>
          <w:sz w:val="28"/>
          <w:szCs w:val="28"/>
        </w:rPr>
        <w:t>k</w:t>
      </w:r>
      <w:r w:rsidRPr="00C57DFA">
        <w:rPr>
          <w:rFonts w:ascii="Times New Roman" w:hAnsi="Times New Roman" w:cs="Times New Roman"/>
          <w:sz w:val="28"/>
          <w:szCs w:val="28"/>
        </w:rPr>
        <w:t>),</w:t>
      </w:r>
      <m:oMath>
        <m:r>
          <w:rPr>
            <w:rFonts w:ascii="Cambria Math" w:eastAsia="Calibri" w:hAnsi="Cambria Math" w:cs="Times New Roman"/>
            <w:sz w:val="28"/>
            <w:szCs w:val="28"/>
          </w:rPr>
          <m:t xml:space="preserve"> β</m:t>
        </m:r>
      </m:oMath>
      <w:r w:rsidRPr="00C57DFA">
        <w:rPr>
          <w:rFonts w:ascii="Times New Roman" w:hAnsi="Times New Roman" w:cs="Times New Roman"/>
          <w:sz w:val="28"/>
          <w:szCs w:val="28"/>
        </w:rPr>
        <w:t xml:space="preserve"> — regression coefficients, </w:t>
      </w:r>
      <m:oMath>
        <m:sSub>
          <m:sSubPr>
            <m:ctrlPr>
              <w:rPr>
                <w:rFonts w:ascii="Cambria Math" w:eastAsia="Times New Roman" w:hAnsi="Cambria Math" w:cs="Times New Roman"/>
                <w:i/>
                <w:iCs/>
                <w:sz w:val="28"/>
                <w:szCs w:val="28"/>
              </w:rPr>
            </m:ctrlPr>
          </m:sSubPr>
          <m:e>
            <m:r>
              <w:rPr>
                <w:rFonts w:ascii="Cambria Math" w:eastAsia="Times New Roman" w:hAnsi="Cambria Math" w:cs="Times New Roman"/>
                <w:sz w:val="28"/>
                <w:szCs w:val="28"/>
              </w:rPr>
              <m:t>ε</m:t>
            </m:r>
          </m:e>
          <m:sub>
            <m:r>
              <w:rPr>
                <w:rFonts w:ascii="Cambria Math" w:eastAsia="Times New Roman" w:hAnsi="Cambria Math" w:cs="Times New Roman"/>
                <w:sz w:val="28"/>
                <w:szCs w:val="28"/>
              </w:rPr>
              <m:t>it</m:t>
            </m:r>
          </m:sub>
        </m:sSub>
      </m:oMath>
      <w:r w:rsidRPr="00C57DFA">
        <w:rPr>
          <w:rFonts w:ascii="Times New Roman" w:hAnsi="Times New Roman" w:cs="Times New Roman"/>
          <w:sz w:val="28"/>
          <w:szCs w:val="28"/>
        </w:rPr>
        <w:t xml:space="preserve"> — respective error, </w:t>
      </w:r>
      <m:oMath>
        <m:sSub>
          <m:sSubPr>
            <m:ctrlPr>
              <w:rPr>
                <w:rFonts w:ascii="Cambria Math" w:eastAsia="Calibri" w:hAnsi="Cambria Math" w:cs="Times New Roman"/>
                <w:bCs/>
                <w:i/>
                <w:iCs/>
                <w:sz w:val="28"/>
                <w:szCs w:val="28"/>
              </w:rPr>
            </m:ctrlPr>
          </m:sSubPr>
          <m:e>
            <m:r>
              <w:rPr>
                <w:rFonts w:ascii="Cambria Math" w:eastAsia="Calibri" w:hAnsi="Cambria Math" w:cs="Times New Roman"/>
                <w:sz w:val="28"/>
                <w:szCs w:val="28"/>
              </w:rPr>
              <m:t>α</m:t>
            </m:r>
          </m:e>
          <m:sub>
            <m:r>
              <w:rPr>
                <w:rFonts w:ascii="Cambria Math" w:eastAsia="Calibri" w:hAnsi="Cambria Math" w:cs="Times New Roman"/>
                <w:sz w:val="28"/>
                <w:szCs w:val="28"/>
              </w:rPr>
              <m:t>i</m:t>
            </m:r>
          </m:sub>
        </m:sSub>
      </m:oMath>
      <w:r w:rsidRPr="00C57DFA">
        <w:rPr>
          <w:rFonts w:ascii="Times New Roman" w:hAnsi="Times New Roman" w:cs="Times New Roman"/>
          <w:i/>
          <w:sz w:val="28"/>
          <w:szCs w:val="28"/>
        </w:rPr>
        <w:t>—</w:t>
      </w:r>
      <w:r w:rsidRPr="00C57DFA">
        <w:rPr>
          <w:rFonts w:ascii="Times New Roman" w:hAnsi="Times New Roman" w:cs="Times New Roman"/>
          <w:sz w:val="28"/>
          <w:szCs w:val="28"/>
        </w:rPr>
        <w:t xml:space="preserve"> individual effect of the object, </w:t>
      </w:r>
      <m:oMath>
        <m:sSub>
          <m:sSubPr>
            <m:ctrlPr>
              <w:rPr>
                <w:rFonts w:ascii="Cambria Math" w:eastAsia="Times New Roman" w:hAnsi="Cambria Math" w:cs="Times New Roman"/>
                <w:i/>
                <w:iCs/>
                <w:sz w:val="28"/>
                <w:szCs w:val="28"/>
              </w:rPr>
            </m:ctrlPr>
          </m:sSubPr>
          <m:e>
            <m:r>
              <w:rPr>
                <w:rFonts w:ascii="Cambria Math" w:eastAsia="Times New Roman" w:hAnsi="Cambria Math" w:cs="Times New Roman"/>
                <w:sz w:val="28"/>
                <w:szCs w:val="28"/>
              </w:rPr>
              <m:t>y</m:t>
            </m:r>
          </m:e>
          <m:sub>
            <m:r>
              <w:rPr>
                <w:rFonts w:ascii="Cambria Math" w:eastAsia="Times New Roman" w:hAnsi="Cambria Math" w:cs="Times New Roman"/>
                <w:sz w:val="28"/>
                <w:szCs w:val="28"/>
              </w:rPr>
              <m:t>it</m:t>
            </m:r>
          </m:sub>
        </m:sSub>
      </m:oMath>
      <w:r w:rsidRPr="00C57DFA">
        <w:rPr>
          <w:rFonts w:ascii="Times New Roman" w:hAnsi="Times New Roman" w:cs="Times New Roman"/>
          <w:sz w:val="28"/>
          <w:szCs w:val="28"/>
        </w:rPr>
        <w:t xml:space="preserve"> — dependent (target) variable of object </w:t>
      </w:r>
      <w:proofErr w:type="spellStart"/>
      <w:r w:rsidRPr="00C57DFA">
        <w:rPr>
          <w:rFonts w:ascii="Times New Roman" w:hAnsi="Times New Roman" w:cs="Times New Roman"/>
          <w:i/>
          <w:sz w:val="28"/>
          <w:szCs w:val="28"/>
        </w:rPr>
        <w:t>i</w:t>
      </w:r>
      <w:proofErr w:type="spellEnd"/>
      <w:r w:rsidRPr="00C57DFA">
        <w:rPr>
          <w:rFonts w:ascii="Times New Roman" w:hAnsi="Times New Roman" w:cs="Times New Roman"/>
          <w:i/>
          <w:sz w:val="28"/>
          <w:szCs w:val="28"/>
        </w:rPr>
        <w:t xml:space="preserve"> </w:t>
      </w:r>
      <w:r w:rsidRPr="00C57DFA">
        <w:rPr>
          <w:rFonts w:ascii="Times New Roman" w:hAnsi="Times New Roman" w:cs="Times New Roman"/>
          <w:sz w:val="28"/>
          <w:szCs w:val="28"/>
        </w:rPr>
        <w:t xml:space="preserve">in moment of time </w:t>
      </w:r>
      <w:r w:rsidRPr="00C57DFA">
        <w:rPr>
          <w:rFonts w:ascii="Times New Roman" w:hAnsi="Times New Roman" w:cs="Times New Roman"/>
          <w:i/>
          <w:sz w:val="28"/>
          <w:szCs w:val="28"/>
        </w:rPr>
        <w:t>t</w:t>
      </w:r>
      <w:r w:rsidRPr="00C57DFA">
        <w:rPr>
          <w:rFonts w:ascii="Times New Roman" w:hAnsi="Times New Roman" w:cs="Times New Roman"/>
          <w:sz w:val="28"/>
          <w:szCs w:val="28"/>
        </w:rPr>
        <w:t>, returning the following values:</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674"/>
      </w:tblGrid>
      <w:tr w:rsidR="00763D9B" w:rsidRPr="00C57DFA" w14:paraId="2651198E" w14:textId="77777777" w:rsidTr="004560E3">
        <w:tc>
          <w:tcPr>
            <w:tcW w:w="9180" w:type="dxa"/>
          </w:tcPr>
          <w:p w14:paraId="4191044F" w14:textId="77777777" w:rsidR="00AA421A" w:rsidRPr="00C57DFA" w:rsidRDefault="009555F0" w:rsidP="004B0B40">
            <w:pPr>
              <w:spacing w:after="0" w:line="360" w:lineRule="auto"/>
              <w:ind w:right="-1"/>
              <w:jc w:val="both"/>
              <w:rPr>
                <w:rFonts w:ascii="Times New Roman" w:eastAsia="Times New Roman" w:hAnsi="Times New Roman" w:cs="Times New Roman"/>
                <w:bCs/>
                <w:i/>
                <w:iCs/>
                <w:sz w:val="28"/>
                <w:szCs w:val="28"/>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y</m:t>
                    </m:r>
                  </m:e>
                  <m:sub>
                    <m:r>
                      <w:rPr>
                        <w:rFonts w:ascii="Cambria Math" w:eastAsia="Times New Roman" w:hAnsi="Cambria Math" w:cs="Times New Roman"/>
                        <w:sz w:val="28"/>
                        <w:szCs w:val="28"/>
                      </w:rPr>
                      <m:t>it</m:t>
                    </m:r>
                  </m:sub>
                </m:sSub>
                <m:r>
                  <w:rPr>
                    <w:rFonts w:ascii="Cambria Math" w:eastAsia="Times New Roman" w:hAnsi="Cambria Math" w:cs="Times New Roman"/>
                    <w:sz w:val="28"/>
                    <w:szCs w:val="28"/>
                  </w:rPr>
                  <m:t>=</m:t>
                </m:r>
                <m:d>
                  <m:dPr>
                    <m:begChr m:val="{"/>
                    <m:endChr m:val=""/>
                    <m:ctrlPr>
                      <w:rPr>
                        <w:rFonts w:ascii="Cambria Math" w:eastAsia="Times New Roman" w:hAnsi="Cambria Math" w:cs="Times New Roman"/>
                        <w:i/>
                        <w:sz w:val="28"/>
                        <w:szCs w:val="28"/>
                      </w:rPr>
                    </m:ctrlPr>
                  </m:dPr>
                  <m:e>
                    <m:eqArr>
                      <m:eqArrPr>
                        <m:ctrlPr>
                          <w:rPr>
                            <w:rFonts w:ascii="Cambria Math" w:eastAsia="Times New Roman" w:hAnsi="Cambria Math" w:cs="Times New Roman"/>
                            <w:i/>
                            <w:sz w:val="28"/>
                            <w:szCs w:val="28"/>
                          </w:rPr>
                        </m:ctrlPr>
                      </m:eqArrPr>
                      <m:e>
                        <m:r>
                          <w:rPr>
                            <w:rFonts w:ascii="Cambria Math" w:eastAsia="Times New Roman" w:hAnsi="Cambria Math" w:cs="Times New Roman"/>
                            <w:sz w:val="28"/>
                            <w:szCs w:val="28"/>
                          </w:rPr>
                          <m:t xml:space="preserve">1, </m:t>
                        </m:r>
                        <m:r>
                          <m:rPr>
                            <m:sty m:val="b"/>
                          </m:rPr>
                          <w:rPr>
                            <w:rFonts w:ascii="Cambria Math" w:hAnsi="Cambria Math" w:cs="Times New Roman"/>
                            <w:sz w:val="28"/>
                            <w:szCs w:val="28"/>
                          </w:rPr>
                          <m:t>i</m:t>
                        </m:r>
                        <m:r>
                          <m:rPr>
                            <m:sty m:val="b"/>
                          </m:rPr>
                          <w:rPr>
                            <w:rFonts w:ascii="Cambria Math" w:hAnsi="Cambria Math" w:cs="Times New Roman"/>
                            <w:sz w:val="28"/>
                            <w:szCs w:val="28"/>
                          </w:rPr>
                          <m:t>f</m:t>
                        </m:r>
                        <m:r>
                          <w:rPr>
                            <w:rFonts w:ascii="Cambria Math" w:eastAsia="Times New Roman" w:hAnsi="Cambria Math" w:cs="Times New Roman"/>
                            <w:sz w:val="28"/>
                            <w:szCs w:val="28"/>
                          </w:rPr>
                          <m:t xml:space="preserve"> </m:t>
                        </m:r>
                        <m:sSubSup>
                          <m:sSubSupPr>
                            <m:ctrlPr>
                              <w:rPr>
                                <w:rFonts w:ascii="Cambria Math" w:eastAsia="Calibri" w:hAnsi="Cambria Math" w:cs="Times New Roman"/>
                                <w:bCs/>
                                <w:i/>
                                <w:iCs/>
                                <w:sz w:val="28"/>
                                <w:szCs w:val="28"/>
                              </w:rPr>
                            </m:ctrlPr>
                          </m:sSubSupPr>
                          <m:e>
                            <m:r>
                              <w:rPr>
                                <w:rFonts w:ascii="Cambria Math" w:eastAsia="Calibri" w:hAnsi="Cambria Math" w:cs="Times New Roman"/>
                                <w:sz w:val="28"/>
                                <w:szCs w:val="28"/>
                              </w:rPr>
                              <m:t>y</m:t>
                            </m:r>
                          </m:e>
                          <m:sub>
                            <m:r>
                              <w:rPr>
                                <w:rFonts w:ascii="Cambria Math" w:eastAsia="Calibri" w:hAnsi="Cambria Math" w:cs="Times New Roman"/>
                                <w:sz w:val="28"/>
                                <w:szCs w:val="28"/>
                              </w:rPr>
                              <m:t>it</m:t>
                            </m:r>
                          </m:sub>
                          <m:sup>
                            <m:r>
                              <w:rPr>
                                <w:rFonts w:ascii="Cambria Math" w:eastAsia="Calibri" w:hAnsi="Cambria Math" w:cs="Times New Roman"/>
                                <w:sz w:val="28"/>
                                <w:szCs w:val="28"/>
                              </w:rPr>
                              <m:t>*</m:t>
                            </m:r>
                          </m:sup>
                        </m:sSubSup>
                        <m:r>
                          <w:rPr>
                            <w:rFonts w:ascii="Cambria Math" w:eastAsia="Calibri" w:hAnsi="Cambria Math" w:cs="Times New Roman"/>
                            <w:sz w:val="28"/>
                            <w:szCs w:val="28"/>
                          </w:rPr>
                          <m:t>≥0,5,</m:t>
                        </m:r>
                      </m:e>
                      <m:e>
                        <m:r>
                          <w:rPr>
                            <w:rFonts w:ascii="Cambria Math" w:eastAsia="Times New Roman" w:hAnsi="Cambria Math" w:cs="Times New Roman"/>
                            <w:sz w:val="28"/>
                            <w:szCs w:val="28"/>
                          </w:rPr>
                          <m:t xml:space="preserve">0, </m:t>
                        </m:r>
                        <m:r>
                          <m:rPr>
                            <m:sty m:val="b"/>
                          </m:rPr>
                          <w:rPr>
                            <w:rFonts w:ascii="Cambria Math" w:hAnsi="Cambria Math" w:cs="Times New Roman"/>
                            <w:sz w:val="28"/>
                            <w:szCs w:val="28"/>
                          </w:rPr>
                          <m:t>if</m:t>
                        </m:r>
                        <m:r>
                          <w:rPr>
                            <w:rFonts w:ascii="Cambria Math" w:eastAsia="Times New Roman" w:hAnsi="Cambria Math" w:cs="Times New Roman"/>
                            <w:sz w:val="28"/>
                            <w:szCs w:val="28"/>
                          </w:rPr>
                          <m:t xml:space="preserve"> </m:t>
                        </m:r>
                        <m:sSubSup>
                          <m:sSubSupPr>
                            <m:ctrlPr>
                              <w:rPr>
                                <w:rFonts w:ascii="Cambria Math" w:eastAsia="Calibri" w:hAnsi="Cambria Math" w:cs="Times New Roman"/>
                                <w:bCs/>
                                <w:i/>
                                <w:iCs/>
                                <w:sz w:val="28"/>
                                <w:szCs w:val="28"/>
                              </w:rPr>
                            </m:ctrlPr>
                          </m:sSubSupPr>
                          <m:e>
                            <m:r>
                              <w:rPr>
                                <w:rFonts w:ascii="Cambria Math" w:eastAsia="Calibri" w:hAnsi="Cambria Math" w:cs="Times New Roman"/>
                                <w:sz w:val="28"/>
                                <w:szCs w:val="28"/>
                              </w:rPr>
                              <m:t>y</m:t>
                            </m:r>
                          </m:e>
                          <m:sub>
                            <m:r>
                              <w:rPr>
                                <w:rFonts w:ascii="Cambria Math" w:eastAsia="Calibri" w:hAnsi="Cambria Math" w:cs="Times New Roman"/>
                                <w:sz w:val="28"/>
                                <w:szCs w:val="28"/>
                              </w:rPr>
                              <m:t>it</m:t>
                            </m:r>
                          </m:sub>
                          <m:sup>
                            <m:r>
                              <w:rPr>
                                <w:rFonts w:ascii="Cambria Math" w:eastAsia="Calibri" w:hAnsi="Cambria Math" w:cs="Times New Roman"/>
                                <w:sz w:val="28"/>
                                <w:szCs w:val="28"/>
                              </w:rPr>
                              <m:t>*</m:t>
                            </m:r>
                          </m:sup>
                        </m:sSubSup>
                        <m:r>
                          <w:rPr>
                            <w:rFonts w:ascii="Cambria Math" w:eastAsia="Calibri" w:hAnsi="Cambria Math" w:cs="Times New Roman"/>
                            <w:sz w:val="28"/>
                            <w:szCs w:val="28"/>
                          </w:rPr>
                          <m:t>&lt;0,5;</m:t>
                        </m:r>
                      </m:e>
                    </m:eqArr>
                  </m:e>
                </m:d>
              </m:oMath>
            </m:oMathPara>
          </w:p>
        </w:tc>
        <w:tc>
          <w:tcPr>
            <w:tcW w:w="674" w:type="dxa"/>
            <w:vAlign w:val="center"/>
          </w:tcPr>
          <w:p w14:paraId="735F33BF" w14:textId="77777777" w:rsidR="00763D9B" w:rsidRPr="00C57DFA" w:rsidRDefault="00763D9B" w:rsidP="004B0B40">
            <w:pPr>
              <w:spacing w:after="0" w:line="360" w:lineRule="auto"/>
              <w:ind w:right="-1"/>
              <w:jc w:val="both"/>
              <w:rPr>
                <w:rFonts w:ascii="Times New Roman" w:eastAsia="Times New Roman" w:hAnsi="Times New Roman" w:cs="Times New Roman"/>
                <w:sz w:val="28"/>
                <w:szCs w:val="28"/>
              </w:rPr>
            </w:pPr>
            <w:r w:rsidRPr="00C57DFA">
              <w:rPr>
                <w:rFonts w:ascii="Times New Roman" w:hAnsi="Times New Roman" w:cs="Times New Roman"/>
                <w:sz w:val="28"/>
                <w:szCs w:val="28"/>
              </w:rPr>
              <w:t>(2)</w:t>
            </w:r>
          </w:p>
        </w:tc>
      </w:tr>
    </w:tbl>
    <w:p w14:paraId="104E171C" w14:textId="77777777" w:rsidR="00763D9B" w:rsidRPr="00C57DFA" w:rsidRDefault="004C5155" w:rsidP="004B0B40">
      <w:pPr>
        <w:spacing w:after="0" w:line="360" w:lineRule="auto"/>
        <w:ind w:right="-1"/>
        <w:jc w:val="both"/>
        <w:rPr>
          <w:rFonts w:ascii="Times New Roman" w:eastAsia="Times New Roman" w:hAnsi="Times New Roman" w:cs="Times New Roman"/>
          <w:bCs/>
          <w:iCs/>
          <w:sz w:val="28"/>
          <w:szCs w:val="28"/>
        </w:rPr>
      </w:pPr>
      <w:proofErr w:type="gramStart"/>
      <w:r w:rsidRPr="00C57DFA">
        <w:rPr>
          <w:rFonts w:ascii="Times New Roman" w:hAnsi="Times New Roman" w:cs="Times New Roman"/>
          <w:sz w:val="28"/>
          <w:szCs w:val="28"/>
        </w:rPr>
        <w:t>where</w:t>
      </w:r>
      <w:proofErr w:type="gramEnd"/>
      <w:r w:rsidRPr="00C57DFA">
        <w:rPr>
          <w:rFonts w:ascii="Times New Roman" w:hAnsi="Times New Roman" w:cs="Times New Roman"/>
          <w:sz w:val="28"/>
          <w:szCs w:val="28"/>
        </w:rPr>
        <w:t xml:space="preserve"> errors </w:t>
      </w:r>
      <m:oMath>
        <m:sSub>
          <m:sSubPr>
            <m:ctrlPr>
              <w:rPr>
                <w:rFonts w:ascii="Cambria Math" w:eastAsia="Calibri" w:hAnsi="Cambria Math" w:cs="Times New Roman"/>
                <w:bCs/>
                <w:i/>
                <w:iCs/>
                <w:sz w:val="28"/>
                <w:szCs w:val="28"/>
              </w:rPr>
            </m:ctrlPr>
          </m:sSubPr>
          <m:e>
            <m:r>
              <w:rPr>
                <w:rFonts w:ascii="Cambria Math" w:eastAsia="Calibri" w:hAnsi="Cambria Math" w:cs="Times New Roman"/>
                <w:sz w:val="28"/>
                <w:szCs w:val="28"/>
              </w:rPr>
              <m:t>ε</m:t>
            </m:r>
          </m:e>
          <m:sub>
            <m:r>
              <w:rPr>
                <w:rFonts w:ascii="Cambria Math" w:eastAsia="Calibri" w:hAnsi="Cambria Math" w:cs="Times New Roman"/>
                <w:sz w:val="28"/>
                <w:szCs w:val="28"/>
              </w:rPr>
              <m:t>it</m:t>
            </m:r>
          </m:sub>
        </m:sSub>
      </m:oMath>
      <w:r w:rsidRPr="00C57DFA">
        <w:rPr>
          <w:rFonts w:ascii="Times New Roman" w:hAnsi="Times New Roman" w:cs="Times New Roman"/>
          <w:sz w:val="28"/>
          <w:szCs w:val="28"/>
        </w:rPr>
        <w:t xml:space="preserve"> are independent in terms of  </w:t>
      </w:r>
      <w:proofErr w:type="spellStart"/>
      <w:r w:rsidRPr="00C57DFA">
        <w:rPr>
          <w:rFonts w:ascii="Times New Roman" w:hAnsi="Times New Roman" w:cs="Times New Roman"/>
          <w:i/>
          <w:sz w:val="28"/>
          <w:szCs w:val="28"/>
        </w:rPr>
        <w:t>i</w:t>
      </w:r>
      <w:proofErr w:type="spellEnd"/>
      <w:r w:rsidRPr="00C57DFA">
        <w:rPr>
          <w:rFonts w:ascii="Times New Roman" w:hAnsi="Times New Roman" w:cs="Times New Roman"/>
          <w:i/>
          <w:sz w:val="28"/>
          <w:szCs w:val="28"/>
        </w:rPr>
        <w:t xml:space="preserve"> </w:t>
      </w:r>
      <w:r w:rsidRPr="00C57DFA">
        <w:rPr>
          <w:rFonts w:ascii="Times New Roman" w:hAnsi="Times New Roman" w:cs="Times New Roman"/>
          <w:sz w:val="28"/>
          <w:szCs w:val="28"/>
        </w:rPr>
        <w:t>and</w:t>
      </w:r>
      <w:r w:rsidRPr="00C57DFA">
        <w:rPr>
          <w:rFonts w:ascii="Times New Roman" w:hAnsi="Times New Roman" w:cs="Times New Roman"/>
          <w:i/>
          <w:sz w:val="28"/>
          <w:szCs w:val="28"/>
        </w:rPr>
        <w:t xml:space="preserve"> t</w:t>
      </w:r>
      <w:r w:rsidRPr="00C57DFA">
        <w:rPr>
          <w:rFonts w:ascii="Times New Roman" w:hAnsi="Times New Roman" w:cs="Times New Roman"/>
          <w:sz w:val="28"/>
          <w:szCs w:val="28"/>
        </w:rPr>
        <w:t xml:space="preserve"> and similarly distributed, while values of </w:t>
      </w:r>
      <m:oMath>
        <m:sSub>
          <m:sSubPr>
            <m:ctrlPr>
              <w:rPr>
                <w:rFonts w:ascii="Cambria Math" w:eastAsia="Calibri" w:hAnsi="Cambria Math" w:cs="Times New Roman"/>
                <w:bCs/>
                <w:i/>
                <w:iCs/>
                <w:sz w:val="28"/>
                <w:szCs w:val="28"/>
              </w:rPr>
            </m:ctrlPr>
          </m:sSubPr>
          <m:e>
            <m:r>
              <w:rPr>
                <w:rFonts w:ascii="Cambria Math" w:eastAsia="Calibri" w:hAnsi="Cambria Math" w:cs="Times New Roman"/>
                <w:sz w:val="28"/>
                <w:szCs w:val="28"/>
              </w:rPr>
              <m:t>α</m:t>
            </m:r>
          </m:e>
          <m:sub>
            <m:r>
              <w:rPr>
                <w:rFonts w:ascii="Cambria Math" w:eastAsia="Calibri" w:hAnsi="Cambria Math" w:cs="Times New Roman"/>
                <w:sz w:val="28"/>
                <w:szCs w:val="28"/>
              </w:rPr>
              <m:t>i</m:t>
            </m:r>
          </m:sub>
        </m:sSub>
      </m:oMath>
      <w:r w:rsidRPr="00C57DFA">
        <w:rPr>
          <w:rFonts w:ascii="Times New Roman" w:hAnsi="Times New Roman" w:cs="Times New Roman"/>
          <w:sz w:val="28"/>
          <w:szCs w:val="28"/>
        </w:rPr>
        <w:t xml:space="preserve"> demonstrate individual differences between objects, with a range of change </w:t>
      </w:r>
      <m:oMath>
        <m:sSubSup>
          <m:sSubSupPr>
            <m:ctrlPr>
              <w:rPr>
                <w:rFonts w:ascii="Cambria Math" w:eastAsia="Calibri" w:hAnsi="Cambria Math" w:cs="Times New Roman"/>
                <w:bCs/>
                <w:i/>
                <w:iCs/>
                <w:sz w:val="28"/>
                <w:szCs w:val="28"/>
              </w:rPr>
            </m:ctrlPr>
          </m:sSubSupPr>
          <m:e>
            <m:r>
              <w:rPr>
                <w:rFonts w:ascii="Cambria Math" w:eastAsia="Calibri" w:hAnsi="Cambria Math" w:cs="Times New Roman"/>
                <w:sz w:val="28"/>
                <w:szCs w:val="28"/>
              </w:rPr>
              <m:t>y</m:t>
            </m:r>
          </m:e>
          <m:sub>
            <m:r>
              <w:rPr>
                <w:rFonts w:ascii="Cambria Math" w:eastAsia="Calibri" w:hAnsi="Cambria Math" w:cs="Times New Roman"/>
                <w:sz w:val="28"/>
                <w:szCs w:val="28"/>
              </w:rPr>
              <m:t>it</m:t>
            </m:r>
          </m:sub>
          <m:sup>
            <m:r>
              <w:rPr>
                <w:rFonts w:ascii="Cambria Math" w:eastAsia="Calibri" w:hAnsi="Cambria Math" w:cs="Times New Roman"/>
                <w:sz w:val="28"/>
                <w:szCs w:val="28"/>
              </w:rPr>
              <m:t>*</m:t>
            </m:r>
          </m:sup>
        </m:sSubSup>
      </m:oMath>
      <w:r w:rsidRPr="00C57DFA">
        <w:rPr>
          <w:rFonts w:ascii="Times New Roman" w:hAnsi="Times New Roman" w:cs="Times New Roman"/>
          <w:sz w:val="28"/>
          <w:szCs w:val="28"/>
        </w:rPr>
        <w:t xml:space="preserve"> being limited by various functions to [0,1].</w:t>
      </w:r>
    </w:p>
    <w:p w14:paraId="1ED93B54" w14:textId="77777777" w:rsidR="00B464DA" w:rsidRPr="00C57DFA" w:rsidRDefault="004C5155" w:rsidP="004B0B40">
      <w:pPr>
        <w:spacing w:after="0" w:line="360" w:lineRule="auto"/>
        <w:ind w:right="-1"/>
        <w:jc w:val="both"/>
        <w:rPr>
          <w:rFonts w:ascii="Times New Roman" w:hAnsi="Times New Roman" w:cs="Times New Roman"/>
          <w:sz w:val="28"/>
          <w:szCs w:val="28"/>
        </w:rPr>
      </w:pPr>
      <w:r w:rsidRPr="00C57DFA">
        <w:rPr>
          <w:rFonts w:ascii="Times New Roman" w:hAnsi="Times New Roman" w:cs="Times New Roman"/>
          <w:sz w:val="28"/>
          <w:szCs w:val="28"/>
        </w:rPr>
        <w:t xml:space="preserve">Before the research, all indicators were normalized, centered and transformed into comparable values. As a target attribute of regression, we have a binary value 'closed' that equals 1 for banks losing their licenses in the following year and 0 for other banks. In addition, we excluded from the analyzed sampling the credit institutions of definitely good standing, which are considered to be backbone for national economy, such as </w:t>
      </w:r>
      <w:proofErr w:type="spellStart"/>
      <w:r w:rsidRPr="00C57DFA">
        <w:rPr>
          <w:rFonts w:ascii="Times New Roman" w:hAnsi="Times New Roman" w:cs="Times New Roman"/>
          <w:sz w:val="28"/>
          <w:szCs w:val="28"/>
        </w:rPr>
        <w:t>Sberbank</w:t>
      </w:r>
      <w:proofErr w:type="spellEnd"/>
      <w:r w:rsidRPr="00C57DFA">
        <w:rPr>
          <w:rFonts w:ascii="Times New Roman" w:hAnsi="Times New Roman" w:cs="Times New Roman"/>
          <w:sz w:val="28"/>
          <w:szCs w:val="28"/>
        </w:rPr>
        <w:t xml:space="preserve"> of Russia, Alfa-Bank, </w:t>
      </w:r>
      <w:proofErr w:type="spellStart"/>
      <w:r w:rsidRPr="00C57DFA">
        <w:rPr>
          <w:rFonts w:ascii="Times New Roman" w:hAnsi="Times New Roman" w:cs="Times New Roman"/>
          <w:sz w:val="28"/>
          <w:szCs w:val="28"/>
        </w:rPr>
        <w:t>Promsvyazbank</w:t>
      </w:r>
      <w:proofErr w:type="spellEnd"/>
      <w:r w:rsidRPr="00C57DFA">
        <w:rPr>
          <w:rFonts w:ascii="Times New Roman" w:hAnsi="Times New Roman" w:cs="Times New Roman"/>
          <w:sz w:val="28"/>
          <w:szCs w:val="28"/>
        </w:rPr>
        <w:t xml:space="preserve">, etc. </w:t>
      </w:r>
    </w:p>
    <w:p w14:paraId="0EC5DB29" w14:textId="77777777" w:rsidR="00763D9B" w:rsidRPr="00C57DFA" w:rsidRDefault="00763D9B" w:rsidP="004B0B40">
      <w:pPr>
        <w:pStyle w:val="1"/>
        <w:spacing w:before="0" w:line="360" w:lineRule="auto"/>
        <w:ind w:right="-1"/>
        <w:rPr>
          <w:rFonts w:ascii="Times New Roman" w:hAnsi="Times New Roman" w:cs="Times New Roman"/>
          <w:b/>
          <w:color w:val="auto"/>
          <w:sz w:val="28"/>
          <w:szCs w:val="28"/>
        </w:rPr>
      </w:pPr>
      <w:r w:rsidRPr="00C57DFA">
        <w:rPr>
          <w:rFonts w:ascii="Times New Roman" w:hAnsi="Times New Roman" w:cs="Times New Roman"/>
          <w:b/>
          <w:color w:val="auto"/>
          <w:sz w:val="28"/>
          <w:szCs w:val="28"/>
        </w:rPr>
        <w:t>Modeling</w:t>
      </w:r>
    </w:p>
    <w:p w14:paraId="57757EF9" w14:textId="77777777" w:rsidR="00E709B7" w:rsidRPr="00073EAF" w:rsidRDefault="00E61379" w:rsidP="004B0B40">
      <w:pPr>
        <w:spacing w:after="0" w:line="360" w:lineRule="auto"/>
        <w:ind w:right="-1"/>
        <w:jc w:val="both"/>
        <w:rPr>
          <w:rFonts w:ascii="Times New Roman" w:hAnsi="Times New Roman" w:cs="Times New Roman"/>
          <w:sz w:val="28"/>
          <w:szCs w:val="28"/>
        </w:rPr>
      </w:pPr>
      <w:r w:rsidRPr="00C57DFA">
        <w:rPr>
          <w:rFonts w:ascii="Times New Roman" w:hAnsi="Times New Roman" w:cs="Times New Roman"/>
          <w:sz w:val="28"/>
          <w:szCs w:val="28"/>
        </w:rPr>
        <w:t xml:space="preserve">Initially, we employed </w:t>
      </w:r>
      <w:proofErr w:type="spellStart"/>
      <w:r w:rsidRPr="00C57DFA">
        <w:rPr>
          <w:rFonts w:ascii="Times New Roman" w:hAnsi="Times New Roman" w:cs="Times New Roman"/>
          <w:sz w:val="28"/>
          <w:szCs w:val="28"/>
        </w:rPr>
        <w:t>StataCorp</w:t>
      </w:r>
      <w:proofErr w:type="spellEnd"/>
      <w:r w:rsidRPr="00C57DFA">
        <w:rPr>
          <w:rFonts w:ascii="Times New Roman" w:hAnsi="Times New Roman" w:cs="Times New Roman"/>
          <w:sz w:val="28"/>
          <w:szCs w:val="28"/>
        </w:rPr>
        <w:t xml:space="preserve"> STATA software to build random-effects logit and </w:t>
      </w:r>
      <w:proofErr w:type="spellStart"/>
      <w:r w:rsidRPr="00C57DFA">
        <w:rPr>
          <w:rFonts w:ascii="Times New Roman" w:hAnsi="Times New Roman" w:cs="Times New Roman"/>
          <w:sz w:val="28"/>
          <w:szCs w:val="28"/>
        </w:rPr>
        <w:t>probit</w:t>
      </w:r>
      <w:proofErr w:type="spellEnd"/>
      <w:r w:rsidRPr="00C57DFA">
        <w:rPr>
          <w:rFonts w:ascii="Times New Roman" w:hAnsi="Times New Roman" w:cs="Times New Roman"/>
          <w:sz w:val="28"/>
          <w:szCs w:val="28"/>
        </w:rPr>
        <w:t xml:space="preserve"> models using data of the lowest hierarchy level and aggregated indicators. For a random-effects </w:t>
      </w:r>
      <w:proofErr w:type="spellStart"/>
      <w:r w:rsidRPr="00C57DFA">
        <w:rPr>
          <w:rFonts w:ascii="Times New Roman" w:hAnsi="Times New Roman" w:cs="Times New Roman"/>
          <w:sz w:val="28"/>
          <w:szCs w:val="28"/>
        </w:rPr>
        <w:t>probit</w:t>
      </w:r>
      <w:proofErr w:type="spellEnd"/>
      <w:r w:rsidRPr="00C57DFA">
        <w:rPr>
          <w:rFonts w:ascii="Times New Roman" w:hAnsi="Times New Roman" w:cs="Times New Roman"/>
          <w:sz w:val="28"/>
          <w:szCs w:val="28"/>
        </w:rPr>
        <w:t xml:space="preserve"> regression based on aggregated indicators, see Fig. 3.</w:t>
      </w:r>
      <w:r w:rsidR="00073EAF" w:rsidRPr="00073EAF">
        <w:rPr>
          <w:rFonts w:ascii="Times New Roman" w:hAnsi="Times New Roman" w:cs="Times New Roman"/>
          <w:sz w:val="28"/>
          <w:szCs w:val="28"/>
        </w:rPr>
        <w:t xml:space="preserve"> It is worth noting that meaningful indicators include issued bonds and promissory notes only. According to the Wald statistics, the model is not meaningful in general.</w:t>
      </w:r>
    </w:p>
    <w:p w14:paraId="5194F072" w14:textId="77777777" w:rsidR="000D5B1E" w:rsidRPr="00C57DFA" w:rsidRDefault="000D5B1E" w:rsidP="004B0B40">
      <w:pPr>
        <w:spacing w:after="0" w:line="360" w:lineRule="auto"/>
        <w:ind w:right="-1"/>
        <w:jc w:val="both"/>
        <w:rPr>
          <w:rFonts w:ascii="Times New Roman" w:hAnsi="Times New Roman" w:cs="Times New Roman"/>
          <w:sz w:val="28"/>
          <w:szCs w:val="28"/>
        </w:rPr>
      </w:pPr>
    </w:p>
    <w:p w14:paraId="59D92505" w14:textId="77777777" w:rsidR="00531CC0" w:rsidRPr="00C57DFA" w:rsidRDefault="00531CC0" w:rsidP="004B0B40">
      <w:pPr>
        <w:spacing w:after="0" w:line="360" w:lineRule="auto"/>
        <w:ind w:right="-1"/>
        <w:jc w:val="center"/>
        <w:rPr>
          <w:rFonts w:ascii="Times New Roman" w:hAnsi="Times New Roman" w:cs="Times New Roman"/>
          <w:sz w:val="28"/>
          <w:szCs w:val="28"/>
        </w:rPr>
      </w:pPr>
      <w:r w:rsidRPr="00C57DFA">
        <w:rPr>
          <w:rFonts w:ascii="Times New Roman" w:hAnsi="Times New Roman" w:cs="Times New Roman"/>
          <w:noProof/>
          <w:sz w:val="28"/>
          <w:szCs w:val="28"/>
          <w:lang w:val="ru-RU" w:eastAsia="ru-RU" w:bidi="ar-SA"/>
        </w:rPr>
        <w:lastRenderedPageBreak/>
        <w:drawing>
          <wp:inline distT="0" distB="0" distL="0" distR="0" wp14:anchorId="2154C382" wp14:editId="4BDD0DF2">
            <wp:extent cx="3841750" cy="2877559"/>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3843900" cy="2879169"/>
                    </a:xfrm>
                    <a:prstGeom prst="rect">
                      <a:avLst/>
                    </a:prstGeom>
                  </pic:spPr>
                </pic:pic>
              </a:graphicData>
            </a:graphic>
          </wp:inline>
        </w:drawing>
      </w:r>
    </w:p>
    <w:p w14:paraId="7A6E2853" w14:textId="77777777" w:rsidR="00531CC0" w:rsidRPr="009E4434" w:rsidRDefault="00041D7C" w:rsidP="004B0B40">
      <w:pPr>
        <w:spacing w:after="0" w:line="360" w:lineRule="auto"/>
        <w:ind w:right="-1"/>
        <w:jc w:val="center"/>
        <w:rPr>
          <w:rFonts w:ascii="Times New Roman" w:hAnsi="Times New Roman" w:cs="Times New Roman"/>
          <w:sz w:val="20"/>
          <w:szCs w:val="20"/>
        </w:rPr>
      </w:pPr>
      <w:r w:rsidRPr="009E4434">
        <w:rPr>
          <w:rFonts w:ascii="Times New Roman" w:hAnsi="Times New Roman" w:cs="Times New Roman"/>
          <w:sz w:val="20"/>
          <w:szCs w:val="20"/>
        </w:rPr>
        <w:t xml:space="preserve">Fig. 3 — </w:t>
      </w:r>
      <w:proofErr w:type="spellStart"/>
      <w:r w:rsidRPr="009E4434">
        <w:rPr>
          <w:rFonts w:ascii="Times New Roman" w:hAnsi="Times New Roman" w:cs="Times New Roman"/>
          <w:sz w:val="20"/>
          <w:szCs w:val="20"/>
        </w:rPr>
        <w:t>Probit</w:t>
      </w:r>
      <w:proofErr w:type="spellEnd"/>
      <w:r w:rsidRPr="009E4434">
        <w:rPr>
          <w:rFonts w:ascii="Times New Roman" w:hAnsi="Times New Roman" w:cs="Times New Roman"/>
          <w:sz w:val="20"/>
          <w:szCs w:val="20"/>
        </w:rPr>
        <w:t xml:space="preserve"> regression </w:t>
      </w:r>
      <w:r w:rsidR="00EE2E0C" w:rsidRPr="009E4434">
        <w:rPr>
          <w:rFonts w:ascii="Times New Roman" w:hAnsi="Times New Roman" w:cs="Times New Roman"/>
          <w:sz w:val="20"/>
          <w:szCs w:val="20"/>
        </w:rPr>
        <w:t>over the highest hierarchy</w:t>
      </w:r>
    </w:p>
    <w:p w14:paraId="6F0DED7D" w14:textId="77777777" w:rsidR="00881898" w:rsidRPr="00C57DFA" w:rsidRDefault="00E709B7" w:rsidP="004B0B40">
      <w:pPr>
        <w:spacing w:after="0" w:line="360" w:lineRule="auto"/>
        <w:ind w:right="-1"/>
        <w:jc w:val="both"/>
        <w:rPr>
          <w:rFonts w:ascii="Times New Roman" w:hAnsi="Times New Roman" w:cs="Times New Roman"/>
          <w:sz w:val="28"/>
          <w:szCs w:val="28"/>
        </w:rPr>
      </w:pPr>
      <w:r w:rsidRPr="00C57DFA">
        <w:rPr>
          <w:rFonts w:ascii="Times New Roman" w:hAnsi="Times New Roman" w:cs="Times New Roman"/>
          <w:sz w:val="28"/>
          <w:szCs w:val="28"/>
        </w:rPr>
        <w:t xml:space="preserve">The random-effects </w:t>
      </w:r>
      <w:proofErr w:type="spellStart"/>
      <w:r w:rsidRPr="00C57DFA">
        <w:rPr>
          <w:rFonts w:ascii="Times New Roman" w:hAnsi="Times New Roman" w:cs="Times New Roman"/>
          <w:sz w:val="28"/>
          <w:szCs w:val="28"/>
        </w:rPr>
        <w:t>probit</w:t>
      </w:r>
      <w:proofErr w:type="spellEnd"/>
      <w:r w:rsidRPr="00C57DFA">
        <w:rPr>
          <w:rFonts w:ascii="Times New Roman" w:hAnsi="Times New Roman" w:cs="Times New Roman"/>
          <w:sz w:val="28"/>
          <w:szCs w:val="28"/>
        </w:rPr>
        <w:t xml:space="preserve"> regression using indicators of the lowest hierarchy level is shown in Fig. 4, with only meaningful indicators being displayed.</w:t>
      </w:r>
    </w:p>
    <w:tbl>
      <w:tblPr>
        <w:tblStyle w:val="a4"/>
        <w:tblW w:w="9747" w:type="dxa"/>
        <w:tblLook w:val="04A0" w:firstRow="1" w:lastRow="0" w:firstColumn="1" w:lastColumn="0" w:noHBand="0" w:noVBand="1"/>
      </w:tblPr>
      <w:tblGrid>
        <w:gridCol w:w="3683"/>
        <w:gridCol w:w="772"/>
        <w:gridCol w:w="1210"/>
        <w:gridCol w:w="851"/>
        <w:gridCol w:w="1043"/>
        <w:gridCol w:w="893"/>
        <w:gridCol w:w="1295"/>
      </w:tblGrid>
      <w:tr w:rsidR="00881898" w:rsidRPr="009E4434" w14:paraId="672F8E7F" w14:textId="77777777" w:rsidTr="009E4434">
        <w:trPr>
          <w:trHeight w:val="20"/>
        </w:trPr>
        <w:tc>
          <w:tcPr>
            <w:tcW w:w="3683" w:type="dxa"/>
            <w:hideMark/>
          </w:tcPr>
          <w:p w14:paraId="045CBFA3" w14:textId="77777777" w:rsidR="00881898" w:rsidRPr="009E4434" w:rsidRDefault="002261F3" w:rsidP="009E4434">
            <w:pPr>
              <w:spacing w:after="0" w:line="240" w:lineRule="auto"/>
              <w:ind w:right="-1"/>
              <w:jc w:val="center"/>
              <w:rPr>
                <w:rFonts w:ascii="Times New Roman" w:eastAsia="Times New Roman" w:hAnsi="Times New Roman" w:cs="Times New Roman"/>
                <w:b/>
                <w:bCs/>
                <w:sz w:val="20"/>
                <w:szCs w:val="20"/>
              </w:rPr>
            </w:pPr>
            <w:r w:rsidRPr="009E4434">
              <w:rPr>
                <w:rFonts w:ascii="Times New Roman" w:hAnsi="Times New Roman" w:cs="Times New Roman"/>
                <w:b/>
                <w:sz w:val="20"/>
                <w:szCs w:val="20"/>
              </w:rPr>
              <w:t xml:space="preserve">Random-effects </w:t>
            </w:r>
            <w:proofErr w:type="spellStart"/>
            <w:r w:rsidRPr="009E4434">
              <w:rPr>
                <w:rFonts w:ascii="Times New Roman" w:hAnsi="Times New Roman" w:cs="Times New Roman"/>
                <w:b/>
                <w:sz w:val="20"/>
                <w:szCs w:val="20"/>
              </w:rPr>
              <w:t>probit</w:t>
            </w:r>
            <w:proofErr w:type="spellEnd"/>
            <w:r w:rsidRPr="009E4434">
              <w:rPr>
                <w:rFonts w:ascii="Times New Roman" w:hAnsi="Times New Roman" w:cs="Times New Roman"/>
                <w:b/>
                <w:sz w:val="20"/>
                <w:szCs w:val="20"/>
              </w:rPr>
              <w:t xml:space="preserve"> regression</w:t>
            </w:r>
          </w:p>
        </w:tc>
        <w:tc>
          <w:tcPr>
            <w:tcW w:w="1982" w:type="dxa"/>
            <w:gridSpan w:val="2"/>
            <w:hideMark/>
          </w:tcPr>
          <w:p w14:paraId="753080FE" w14:textId="77777777" w:rsidR="00881898" w:rsidRPr="009E4434" w:rsidRDefault="00531CC0"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 xml:space="preserve">Number of </w:t>
            </w:r>
            <w:proofErr w:type="spellStart"/>
            <w:r w:rsidRPr="009E4434">
              <w:rPr>
                <w:rFonts w:ascii="Times New Roman" w:hAnsi="Times New Roman" w:cs="Times New Roman"/>
                <w:color w:val="000000"/>
                <w:sz w:val="20"/>
                <w:szCs w:val="20"/>
              </w:rPr>
              <w:t>obs</w:t>
            </w:r>
            <w:proofErr w:type="spellEnd"/>
            <w:r w:rsidRPr="009E4434">
              <w:rPr>
                <w:rFonts w:ascii="Times New Roman" w:hAnsi="Times New Roman" w:cs="Times New Roman"/>
                <w:color w:val="000000"/>
                <w:sz w:val="20"/>
                <w:szCs w:val="20"/>
              </w:rPr>
              <w:t xml:space="preserve"> = 5,765</w:t>
            </w:r>
          </w:p>
        </w:tc>
        <w:tc>
          <w:tcPr>
            <w:tcW w:w="1894" w:type="dxa"/>
            <w:gridSpan w:val="2"/>
            <w:vMerge w:val="restart"/>
            <w:hideMark/>
          </w:tcPr>
          <w:p w14:paraId="60D173A0"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proofErr w:type="spellStart"/>
            <w:r w:rsidRPr="009E4434">
              <w:rPr>
                <w:rFonts w:ascii="Times New Roman" w:hAnsi="Times New Roman" w:cs="Times New Roman"/>
                <w:color w:val="000000"/>
                <w:sz w:val="20"/>
                <w:szCs w:val="20"/>
              </w:rPr>
              <w:t>obs</w:t>
            </w:r>
            <w:proofErr w:type="spellEnd"/>
            <w:r w:rsidRPr="009E4434">
              <w:rPr>
                <w:rFonts w:ascii="Times New Roman" w:hAnsi="Times New Roman" w:cs="Times New Roman"/>
                <w:color w:val="000000"/>
                <w:sz w:val="20"/>
                <w:szCs w:val="20"/>
              </w:rPr>
              <w:t xml:space="preserve"> per group: min = 1, </w:t>
            </w:r>
            <w:proofErr w:type="spellStart"/>
            <w:r w:rsidRPr="009E4434">
              <w:rPr>
                <w:rFonts w:ascii="Times New Roman" w:hAnsi="Times New Roman" w:cs="Times New Roman"/>
                <w:color w:val="000000"/>
                <w:sz w:val="20"/>
                <w:szCs w:val="20"/>
              </w:rPr>
              <w:t>avg</w:t>
            </w:r>
            <w:proofErr w:type="spellEnd"/>
            <w:r w:rsidRPr="009E4434">
              <w:rPr>
                <w:rFonts w:ascii="Times New Roman" w:hAnsi="Times New Roman" w:cs="Times New Roman"/>
                <w:color w:val="000000"/>
                <w:sz w:val="20"/>
                <w:szCs w:val="20"/>
              </w:rPr>
              <w:t xml:space="preserve"> = 5.1, max = 6</w:t>
            </w:r>
          </w:p>
        </w:tc>
        <w:tc>
          <w:tcPr>
            <w:tcW w:w="2188" w:type="dxa"/>
            <w:gridSpan w:val="2"/>
            <w:vMerge w:val="restart"/>
            <w:hideMark/>
          </w:tcPr>
          <w:p w14:paraId="5E4DBBEE" w14:textId="77777777" w:rsidR="00881898" w:rsidRPr="009E4434" w:rsidRDefault="00633B19"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LR chi2(29)</w:t>
            </w:r>
            <w:r w:rsidRPr="009E4434">
              <w:rPr>
                <w:rFonts w:ascii="Times New Roman" w:hAnsi="Times New Roman" w:cs="Times New Roman"/>
                <w:color w:val="000000"/>
                <w:sz w:val="20"/>
                <w:szCs w:val="20"/>
                <w:vertAlign w:val="superscript"/>
              </w:rPr>
              <w:t xml:space="preserve">1 </w:t>
            </w:r>
            <w:r w:rsidRPr="009E4434">
              <w:rPr>
                <w:rFonts w:ascii="Times New Roman" w:hAnsi="Times New Roman" w:cs="Times New Roman"/>
                <w:color w:val="000000"/>
                <w:sz w:val="20"/>
                <w:szCs w:val="20"/>
              </w:rPr>
              <w:t>= 66.61</w:t>
            </w:r>
            <w:r w:rsidRPr="009E4434">
              <w:rPr>
                <w:rFonts w:ascii="Times New Roman" w:eastAsia="Times New Roman" w:hAnsi="Times New Roman" w:cs="Times New Roman"/>
                <w:color w:val="000000"/>
                <w:sz w:val="20"/>
                <w:szCs w:val="20"/>
              </w:rPr>
              <w:br/>
            </w:r>
            <w:proofErr w:type="spellStart"/>
            <w:r w:rsidRPr="009E4434">
              <w:rPr>
                <w:rFonts w:ascii="Times New Roman" w:hAnsi="Times New Roman" w:cs="Times New Roman"/>
                <w:color w:val="000000"/>
                <w:sz w:val="20"/>
                <w:szCs w:val="20"/>
              </w:rPr>
              <w:t>Prob</w:t>
            </w:r>
            <w:proofErr w:type="spellEnd"/>
            <w:r w:rsidRPr="009E4434">
              <w:rPr>
                <w:rFonts w:ascii="Times New Roman" w:hAnsi="Times New Roman" w:cs="Times New Roman"/>
                <w:color w:val="000000"/>
                <w:sz w:val="20"/>
                <w:szCs w:val="20"/>
              </w:rPr>
              <w:t xml:space="preserve"> &gt; chi2</w:t>
            </w:r>
            <w:r w:rsidRPr="009E4434">
              <w:rPr>
                <w:rFonts w:ascii="Times New Roman" w:hAnsi="Times New Roman" w:cs="Times New Roman"/>
                <w:color w:val="000000"/>
                <w:sz w:val="20"/>
                <w:szCs w:val="20"/>
                <w:vertAlign w:val="superscript"/>
              </w:rPr>
              <w:t>2</w:t>
            </w:r>
            <w:r w:rsidRPr="009E4434">
              <w:rPr>
                <w:rFonts w:ascii="Times New Roman" w:hAnsi="Times New Roman" w:cs="Times New Roman"/>
                <w:color w:val="000000"/>
                <w:sz w:val="20"/>
                <w:szCs w:val="20"/>
              </w:rPr>
              <w:t xml:space="preserve"> =0.0001</w:t>
            </w:r>
          </w:p>
        </w:tc>
      </w:tr>
      <w:tr w:rsidR="00881898" w:rsidRPr="009E4434" w14:paraId="514D1E54" w14:textId="77777777" w:rsidTr="009E4434">
        <w:trPr>
          <w:trHeight w:val="20"/>
        </w:trPr>
        <w:tc>
          <w:tcPr>
            <w:tcW w:w="3683" w:type="dxa"/>
            <w:hideMark/>
          </w:tcPr>
          <w:p w14:paraId="267A93B3"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group variable: license number</w:t>
            </w:r>
          </w:p>
        </w:tc>
        <w:tc>
          <w:tcPr>
            <w:tcW w:w="1982" w:type="dxa"/>
            <w:gridSpan w:val="2"/>
            <w:hideMark/>
          </w:tcPr>
          <w:p w14:paraId="478113A4" w14:textId="77777777" w:rsidR="00881898" w:rsidRPr="009E4434" w:rsidRDefault="00531CC0"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number of groups = 1,122</w:t>
            </w:r>
          </w:p>
        </w:tc>
        <w:tc>
          <w:tcPr>
            <w:tcW w:w="1894" w:type="dxa"/>
            <w:gridSpan w:val="2"/>
            <w:vMerge/>
            <w:hideMark/>
          </w:tcPr>
          <w:p w14:paraId="3DDB5DB5" w14:textId="77777777" w:rsidR="00881898" w:rsidRPr="009E4434" w:rsidRDefault="00881898" w:rsidP="009E4434">
            <w:pPr>
              <w:spacing w:after="0" w:line="240" w:lineRule="auto"/>
              <w:ind w:right="-1"/>
              <w:rPr>
                <w:rFonts w:ascii="Times New Roman" w:eastAsia="Times New Roman" w:hAnsi="Times New Roman" w:cs="Times New Roman"/>
                <w:color w:val="000000"/>
                <w:sz w:val="20"/>
                <w:szCs w:val="20"/>
              </w:rPr>
            </w:pPr>
          </w:p>
        </w:tc>
        <w:tc>
          <w:tcPr>
            <w:tcW w:w="2188" w:type="dxa"/>
            <w:gridSpan w:val="2"/>
            <w:vMerge/>
            <w:hideMark/>
          </w:tcPr>
          <w:p w14:paraId="23A6CE82" w14:textId="77777777" w:rsidR="00881898" w:rsidRPr="009E4434" w:rsidRDefault="00881898" w:rsidP="009E4434">
            <w:pPr>
              <w:spacing w:after="0" w:line="240" w:lineRule="auto"/>
              <w:ind w:right="-1"/>
              <w:rPr>
                <w:rFonts w:ascii="Times New Roman" w:eastAsia="Times New Roman" w:hAnsi="Times New Roman" w:cs="Times New Roman"/>
                <w:color w:val="000000"/>
                <w:sz w:val="20"/>
                <w:szCs w:val="20"/>
              </w:rPr>
            </w:pPr>
          </w:p>
        </w:tc>
      </w:tr>
      <w:tr w:rsidR="00881898" w:rsidRPr="009E4434" w14:paraId="3EA61FE0" w14:textId="77777777" w:rsidTr="009E4434">
        <w:trPr>
          <w:trHeight w:val="20"/>
        </w:trPr>
        <w:tc>
          <w:tcPr>
            <w:tcW w:w="3683" w:type="dxa"/>
            <w:noWrap/>
            <w:hideMark/>
          </w:tcPr>
          <w:p w14:paraId="169152D6"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p>
        </w:tc>
        <w:tc>
          <w:tcPr>
            <w:tcW w:w="772" w:type="dxa"/>
            <w:noWrap/>
            <w:hideMark/>
          </w:tcPr>
          <w:p w14:paraId="602398CF"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proofErr w:type="spellStart"/>
            <w:r w:rsidRPr="009E4434">
              <w:rPr>
                <w:rFonts w:ascii="Times New Roman" w:hAnsi="Times New Roman" w:cs="Times New Roman"/>
                <w:color w:val="000000"/>
                <w:sz w:val="20"/>
                <w:szCs w:val="20"/>
              </w:rPr>
              <w:t>Coef</w:t>
            </w:r>
            <w:proofErr w:type="spellEnd"/>
            <w:r w:rsidRPr="009E4434">
              <w:rPr>
                <w:rFonts w:ascii="Times New Roman" w:hAnsi="Times New Roman" w:cs="Times New Roman"/>
                <w:color w:val="000000"/>
                <w:sz w:val="20"/>
                <w:szCs w:val="20"/>
              </w:rPr>
              <w:t>.</w:t>
            </w:r>
          </w:p>
        </w:tc>
        <w:tc>
          <w:tcPr>
            <w:tcW w:w="1210" w:type="dxa"/>
            <w:hideMark/>
          </w:tcPr>
          <w:p w14:paraId="50AA1876"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 xml:space="preserve">Std. </w:t>
            </w:r>
            <w:proofErr w:type="gramStart"/>
            <w:r w:rsidRPr="009E4434">
              <w:rPr>
                <w:rFonts w:ascii="Times New Roman" w:hAnsi="Times New Roman" w:cs="Times New Roman"/>
                <w:color w:val="000000"/>
                <w:sz w:val="20"/>
                <w:szCs w:val="20"/>
              </w:rPr>
              <w:t>err</w:t>
            </w:r>
            <w:proofErr w:type="gramEnd"/>
            <w:r w:rsidRPr="009E4434">
              <w:rPr>
                <w:rFonts w:ascii="Times New Roman" w:hAnsi="Times New Roman" w:cs="Times New Roman"/>
                <w:color w:val="000000"/>
                <w:sz w:val="20"/>
                <w:szCs w:val="20"/>
              </w:rPr>
              <w:t>.</w:t>
            </w:r>
          </w:p>
        </w:tc>
        <w:tc>
          <w:tcPr>
            <w:tcW w:w="851" w:type="dxa"/>
            <w:noWrap/>
            <w:hideMark/>
          </w:tcPr>
          <w:p w14:paraId="287949D9"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z</w:t>
            </w:r>
            <w:r w:rsidRPr="009E4434">
              <w:rPr>
                <w:rFonts w:ascii="Times New Roman" w:hAnsi="Times New Roman" w:cs="Times New Roman"/>
                <w:color w:val="000000"/>
                <w:sz w:val="20"/>
                <w:szCs w:val="20"/>
                <w:vertAlign w:val="superscript"/>
              </w:rPr>
              <w:t>3</w:t>
            </w:r>
          </w:p>
        </w:tc>
        <w:tc>
          <w:tcPr>
            <w:tcW w:w="1043" w:type="dxa"/>
            <w:noWrap/>
            <w:hideMark/>
          </w:tcPr>
          <w:p w14:paraId="5012E1A6"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P&gt;|z|</w:t>
            </w:r>
            <w:r w:rsidRPr="009E4434">
              <w:rPr>
                <w:rFonts w:ascii="Times New Roman" w:hAnsi="Times New Roman" w:cs="Times New Roman"/>
                <w:color w:val="000000"/>
                <w:sz w:val="20"/>
                <w:szCs w:val="20"/>
                <w:vertAlign w:val="superscript"/>
              </w:rPr>
              <w:t>4</w:t>
            </w:r>
          </w:p>
        </w:tc>
        <w:tc>
          <w:tcPr>
            <w:tcW w:w="2188" w:type="dxa"/>
            <w:gridSpan w:val="2"/>
            <w:hideMark/>
          </w:tcPr>
          <w:p w14:paraId="7F6772A5"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95% Conf. Interval</w:t>
            </w:r>
          </w:p>
        </w:tc>
      </w:tr>
      <w:tr w:rsidR="00881898" w:rsidRPr="009E4434" w14:paraId="76C4E37F" w14:textId="77777777" w:rsidTr="009E4434">
        <w:trPr>
          <w:trHeight w:val="20"/>
        </w:trPr>
        <w:tc>
          <w:tcPr>
            <w:tcW w:w="3683" w:type="dxa"/>
            <w:hideMark/>
          </w:tcPr>
          <w:p w14:paraId="062198A3" w14:textId="77777777" w:rsidR="00881898" w:rsidRPr="009E4434" w:rsidRDefault="00881898" w:rsidP="009E4434">
            <w:pPr>
              <w:spacing w:after="0" w:line="240" w:lineRule="auto"/>
              <w:ind w:right="-1"/>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Credits to individuals with a maturity date of 1 to 3 years</w:t>
            </w:r>
          </w:p>
        </w:tc>
        <w:tc>
          <w:tcPr>
            <w:tcW w:w="772" w:type="dxa"/>
            <w:noWrap/>
            <w:hideMark/>
          </w:tcPr>
          <w:p w14:paraId="51E96AE6"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-1.95</w:t>
            </w:r>
          </w:p>
        </w:tc>
        <w:tc>
          <w:tcPr>
            <w:tcW w:w="1210" w:type="dxa"/>
            <w:noWrap/>
            <w:hideMark/>
          </w:tcPr>
          <w:p w14:paraId="02B6D08D"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0.69</w:t>
            </w:r>
          </w:p>
        </w:tc>
        <w:tc>
          <w:tcPr>
            <w:tcW w:w="851" w:type="dxa"/>
            <w:noWrap/>
            <w:hideMark/>
          </w:tcPr>
          <w:p w14:paraId="3A6B6047"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-2.83</w:t>
            </w:r>
          </w:p>
        </w:tc>
        <w:tc>
          <w:tcPr>
            <w:tcW w:w="1043" w:type="dxa"/>
            <w:noWrap/>
            <w:hideMark/>
          </w:tcPr>
          <w:p w14:paraId="44596055"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0.01</w:t>
            </w:r>
          </w:p>
        </w:tc>
        <w:tc>
          <w:tcPr>
            <w:tcW w:w="893" w:type="dxa"/>
            <w:noWrap/>
            <w:hideMark/>
          </w:tcPr>
          <w:p w14:paraId="33D173DF"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-3.30</w:t>
            </w:r>
          </w:p>
        </w:tc>
        <w:tc>
          <w:tcPr>
            <w:tcW w:w="1295" w:type="dxa"/>
            <w:noWrap/>
            <w:hideMark/>
          </w:tcPr>
          <w:p w14:paraId="0557076F"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-0.60</w:t>
            </w:r>
          </w:p>
        </w:tc>
      </w:tr>
      <w:tr w:rsidR="00881898" w:rsidRPr="009E4434" w14:paraId="636E3149" w14:textId="77777777" w:rsidTr="009E4434">
        <w:trPr>
          <w:trHeight w:val="20"/>
        </w:trPr>
        <w:tc>
          <w:tcPr>
            <w:tcW w:w="3683" w:type="dxa"/>
            <w:hideMark/>
          </w:tcPr>
          <w:p w14:paraId="7A58657C" w14:textId="77777777" w:rsidR="00881898" w:rsidRPr="009E4434" w:rsidRDefault="00881898" w:rsidP="009E4434">
            <w:pPr>
              <w:spacing w:after="0" w:line="240" w:lineRule="auto"/>
              <w:ind w:right="-1"/>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Credits to individuals with a maturity date of more than 3 years</w:t>
            </w:r>
          </w:p>
        </w:tc>
        <w:tc>
          <w:tcPr>
            <w:tcW w:w="772" w:type="dxa"/>
            <w:noWrap/>
            <w:hideMark/>
          </w:tcPr>
          <w:p w14:paraId="2C3A4B0C"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1.55</w:t>
            </w:r>
          </w:p>
        </w:tc>
        <w:tc>
          <w:tcPr>
            <w:tcW w:w="1210" w:type="dxa"/>
            <w:noWrap/>
            <w:hideMark/>
          </w:tcPr>
          <w:p w14:paraId="535DCEB8"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0.78</w:t>
            </w:r>
          </w:p>
        </w:tc>
        <w:tc>
          <w:tcPr>
            <w:tcW w:w="851" w:type="dxa"/>
            <w:noWrap/>
            <w:hideMark/>
          </w:tcPr>
          <w:p w14:paraId="50D04DFF"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1.98</w:t>
            </w:r>
          </w:p>
        </w:tc>
        <w:tc>
          <w:tcPr>
            <w:tcW w:w="1043" w:type="dxa"/>
            <w:noWrap/>
            <w:hideMark/>
          </w:tcPr>
          <w:p w14:paraId="624D11B7"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0.05</w:t>
            </w:r>
          </w:p>
        </w:tc>
        <w:tc>
          <w:tcPr>
            <w:tcW w:w="893" w:type="dxa"/>
            <w:noWrap/>
            <w:hideMark/>
          </w:tcPr>
          <w:p w14:paraId="41AD90C4"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0.16</w:t>
            </w:r>
          </w:p>
        </w:tc>
        <w:tc>
          <w:tcPr>
            <w:tcW w:w="1295" w:type="dxa"/>
            <w:noWrap/>
            <w:hideMark/>
          </w:tcPr>
          <w:p w14:paraId="3A978FA3"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3.07</w:t>
            </w:r>
          </w:p>
        </w:tc>
      </w:tr>
      <w:tr w:rsidR="00881898" w:rsidRPr="009E4434" w14:paraId="3C62E841" w14:textId="77777777" w:rsidTr="009E4434">
        <w:trPr>
          <w:trHeight w:val="20"/>
        </w:trPr>
        <w:tc>
          <w:tcPr>
            <w:tcW w:w="3683" w:type="dxa"/>
            <w:hideMark/>
          </w:tcPr>
          <w:p w14:paraId="1565ABE4" w14:textId="77777777" w:rsidR="00881898" w:rsidRPr="009E4434" w:rsidRDefault="00881898" w:rsidP="009E4434">
            <w:pPr>
              <w:spacing w:after="0" w:line="240" w:lineRule="auto"/>
              <w:ind w:right="-1"/>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Credits to enterprises and organizations with a maturity date of up to 180 days</w:t>
            </w:r>
          </w:p>
        </w:tc>
        <w:tc>
          <w:tcPr>
            <w:tcW w:w="772" w:type="dxa"/>
            <w:noWrap/>
            <w:hideMark/>
          </w:tcPr>
          <w:p w14:paraId="788012A8"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-0.72</w:t>
            </w:r>
          </w:p>
        </w:tc>
        <w:tc>
          <w:tcPr>
            <w:tcW w:w="1210" w:type="dxa"/>
            <w:noWrap/>
            <w:hideMark/>
          </w:tcPr>
          <w:p w14:paraId="6458A626"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0.33</w:t>
            </w:r>
          </w:p>
        </w:tc>
        <w:tc>
          <w:tcPr>
            <w:tcW w:w="851" w:type="dxa"/>
            <w:noWrap/>
            <w:hideMark/>
          </w:tcPr>
          <w:p w14:paraId="37EAE808"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-2.19</w:t>
            </w:r>
          </w:p>
        </w:tc>
        <w:tc>
          <w:tcPr>
            <w:tcW w:w="1043" w:type="dxa"/>
            <w:noWrap/>
            <w:hideMark/>
          </w:tcPr>
          <w:p w14:paraId="49D447C8"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0.03</w:t>
            </w:r>
          </w:p>
        </w:tc>
        <w:tc>
          <w:tcPr>
            <w:tcW w:w="893" w:type="dxa"/>
            <w:noWrap/>
            <w:hideMark/>
          </w:tcPr>
          <w:p w14:paraId="6FD2AB6E"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-1.36</w:t>
            </w:r>
          </w:p>
        </w:tc>
        <w:tc>
          <w:tcPr>
            <w:tcW w:w="1295" w:type="dxa"/>
            <w:noWrap/>
            <w:hideMark/>
          </w:tcPr>
          <w:p w14:paraId="00078AC2"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-0.08</w:t>
            </w:r>
          </w:p>
        </w:tc>
      </w:tr>
      <w:tr w:rsidR="00881898" w:rsidRPr="009E4434" w14:paraId="71490862" w14:textId="77777777" w:rsidTr="009E4434">
        <w:trPr>
          <w:trHeight w:val="20"/>
        </w:trPr>
        <w:tc>
          <w:tcPr>
            <w:tcW w:w="3683" w:type="dxa"/>
            <w:hideMark/>
          </w:tcPr>
          <w:p w14:paraId="3974CCCC" w14:textId="77777777" w:rsidR="00881898" w:rsidRPr="009E4434" w:rsidRDefault="00881898" w:rsidP="009E4434">
            <w:pPr>
              <w:spacing w:after="0" w:line="240" w:lineRule="auto"/>
              <w:ind w:right="-1"/>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Credits to enterprises and organizations with a maturity date of over 3 years</w:t>
            </w:r>
          </w:p>
        </w:tc>
        <w:tc>
          <w:tcPr>
            <w:tcW w:w="772" w:type="dxa"/>
            <w:noWrap/>
            <w:hideMark/>
          </w:tcPr>
          <w:p w14:paraId="50E184A7"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-2.08</w:t>
            </w:r>
          </w:p>
        </w:tc>
        <w:tc>
          <w:tcPr>
            <w:tcW w:w="1210" w:type="dxa"/>
            <w:noWrap/>
            <w:hideMark/>
          </w:tcPr>
          <w:p w14:paraId="76AACCA3"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1.05</w:t>
            </w:r>
          </w:p>
        </w:tc>
        <w:tc>
          <w:tcPr>
            <w:tcW w:w="851" w:type="dxa"/>
            <w:noWrap/>
            <w:hideMark/>
          </w:tcPr>
          <w:p w14:paraId="11797E7B"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-1.97</w:t>
            </w:r>
          </w:p>
        </w:tc>
        <w:tc>
          <w:tcPr>
            <w:tcW w:w="1043" w:type="dxa"/>
            <w:noWrap/>
            <w:hideMark/>
          </w:tcPr>
          <w:p w14:paraId="7CF5F27F"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0.05</w:t>
            </w:r>
          </w:p>
        </w:tc>
        <w:tc>
          <w:tcPr>
            <w:tcW w:w="893" w:type="dxa"/>
            <w:noWrap/>
            <w:hideMark/>
          </w:tcPr>
          <w:p w14:paraId="0264ECB9"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-4.14</w:t>
            </w:r>
          </w:p>
        </w:tc>
        <w:tc>
          <w:tcPr>
            <w:tcW w:w="1295" w:type="dxa"/>
            <w:noWrap/>
            <w:hideMark/>
          </w:tcPr>
          <w:p w14:paraId="74DA2EF9"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-0.01</w:t>
            </w:r>
          </w:p>
        </w:tc>
      </w:tr>
      <w:tr w:rsidR="00881898" w:rsidRPr="009E4434" w14:paraId="7E33B89F" w14:textId="77777777" w:rsidTr="009E4434">
        <w:trPr>
          <w:trHeight w:val="20"/>
        </w:trPr>
        <w:tc>
          <w:tcPr>
            <w:tcW w:w="3683" w:type="dxa"/>
            <w:hideMark/>
          </w:tcPr>
          <w:p w14:paraId="19D3872C" w14:textId="77777777" w:rsidR="00881898" w:rsidRPr="009E4434" w:rsidRDefault="00CF178D" w:rsidP="009E4434">
            <w:pPr>
              <w:spacing w:after="0" w:line="240" w:lineRule="auto"/>
              <w:ind w:right="-1"/>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Credits to enterprises and organizations with a maturity date from 90 to 180 days</w:t>
            </w:r>
          </w:p>
        </w:tc>
        <w:tc>
          <w:tcPr>
            <w:tcW w:w="772" w:type="dxa"/>
            <w:noWrap/>
            <w:hideMark/>
          </w:tcPr>
          <w:p w14:paraId="62F5684B"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0.50</w:t>
            </w:r>
          </w:p>
        </w:tc>
        <w:tc>
          <w:tcPr>
            <w:tcW w:w="1210" w:type="dxa"/>
            <w:noWrap/>
            <w:hideMark/>
          </w:tcPr>
          <w:p w14:paraId="7BAEDFC2"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0.19</w:t>
            </w:r>
          </w:p>
        </w:tc>
        <w:tc>
          <w:tcPr>
            <w:tcW w:w="851" w:type="dxa"/>
            <w:noWrap/>
            <w:hideMark/>
          </w:tcPr>
          <w:p w14:paraId="7ECAFF7F"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2.58</w:t>
            </w:r>
          </w:p>
        </w:tc>
        <w:tc>
          <w:tcPr>
            <w:tcW w:w="1043" w:type="dxa"/>
            <w:noWrap/>
            <w:hideMark/>
          </w:tcPr>
          <w:p w14:paraId="4CB8AC3D"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0.01</w:t>
            </w:r>
          </w:p>
        </w:tc>
        <w:tc>
          <w:tcPr>
            <w:tcW w:w="893" w:type="dxa"/>
            <w:noWrap/>
            <w:hideMark/>
          </w:tcPr>
          <w:p w14:paraId="63B478CC"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0.12</w:t>
            </w:r>
          </w:p>
        </w:tc>
        <w:tc>
          <w:tcPr>
            <w:tcW w:w="1295" w:type="dxa"/>
            <w:noWrap/>
            <w:hideMark/>
          </w:tcPr>
          <w:p w14:paraId="1D8B25BE"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0.88</w:t>
            </w:r>
          </w:p>
        </w:tc>
      </w:tr>
      <w:tr w:rsidR="00881898" w:rsidRPr="009E4434" w14:paraId="1B83737B" w14:textId="77777777" w:rsidTr="009E4434">
        <w:trPr>
          <w:trHeight w:val="20"/>
        </w:trPr>
        <w:tc>
          <w:tcPr>
            <w:tcW w:w="3683" w:type="dxa"/>
            <w:hideMark/>
          </w:tcPr>
          <w:p w14:paraId="213E9A5C" w14:textId="77777777" w:rsidR="00881898" w:rsidRPr="009E4434" w:rsidRDefault="00881898" w:rsidP="009E4434">
            <w:pPr>
              <w:spacing w:after="0" w:line="240" w:lineRule="auto"/>
              <w:ind w:right="-1"/>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Credits to enterprises and organizations with a maturity date from 1 to 3 years</w:t>
            </w:r>
          </w:p>
        </w:tc>
        <w:tc>
          <w:tcPr>
            <w:tcW w:w="772" w:type="dxa"/>
            <w:noWrap/>
            <w:hideMark/>
          </w:tcPr>
          <w:p w14:paraId="79B472CA"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-1.43</w:t>
            </w:r>
          </w:p>
        </w:tc>
        <w:tc>
          <w:tcPr>
            <w:tcW w:w="1210" w:type="dxa"/>
            <w:noWrap/>
            <w:hideMark/>
          </w:tcPr>
          <w:p w14:paraId="1AA4B881"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0.72</w:t>
            </w:r>
          </w:p>
        </w:tc>
        <w:tc>
          <w:tcPr>
            <w:tcW w:w="851" w:type="dxa"/>
            <w:noWrap/>
            <w:hideMark/>
          </w:tcPr>
          <w:p w14:paraId="3C46EFED"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-1.99</w:t>
            </w:r>
          </w:p>
        </w:tc>
        <w:tc>
          <w:tcPr>
            <w:tcW w:w="1043" w:type="dxa"/>
            <w:noWrap/>
            <w:hideMark/>
          </w:tcPr>
          <w:p w14:paraId="086F2062"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0.05</w:t>
            </w:r>
          </w:p>
        </w:tc>
        <w:tc>
          <w:tcPr>
            <w:tcW w:w="893" w:type="dxa"/>
            <w:noWrap/>
            <w:hideMark/>
          </w:tcPr>
          <w:p w14:paraId="2A39F571"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-2.84</w:t>
            </w:r>
          </w:p>
        </w:tc>
        <w:tc>
          <w:tcPr>
            <w:tcW w:w="1295" w:type="dxa"/>
            <w:noWrap/>
            <w:hideMark/>
          </w:tcPr>
          <w:p w14:paraId="0C89BF7A"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-0.02</w:t>
            </w:r>
          </w:p>
        </w:tc>
      </w:tr>
      <w:tr w:rsidR="00881898" w:rsidRPr="009E4434" w14:paraId="5D4616B4" w14:textId="77777777" w:rsidTr="009E4434">
        <w:trPr>
          <w:trHeight w:val="20"/>
        </w:trPr>
        <w:tc>
          <w:tcPr>
            <w:tcW w:w="3683" w:type="dxa"/>
            <w:hideMark/>
          </w:tcPr>
          <w:p w14:paraId="1CF1E617" w14:textId="77777777" w:rsidR="00881898" w:rsidRPr="009E4434" w:rsidRDefault="00881898" w:rsidP="009E4434">
            <w:pPr>
              <w:spacing w:after="0" w:line="240" w:lineRule="auto"/>
              <w:ind w:right="-1"/>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Bonds issued</w:t>
            </w:r>
          </w:p>
        </w:tc>
        <w:tc>
          <w:tcPr>
            <w:tcW w:w="772" w:type="dxa"/>
            <w:noWrap/>
            <w:hideMark/>
          </w:tcPr>
          <w:p w14:paraId="0714C0DF"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-0.90</w:t>
            </w:r>
          </w:p>
        </w:tc>
        <w:tc>
          <w:tcPr>
            <w:tcW w:w="1210" w:type="dxa"/>
            <w:noWrap/>
            <w:hideMark/>
          </w:tcPr>
          <w:p w14:paraId="4237ED8C"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0.44</w:t>
            </w:r>
          </w:p>
        </w:tc>
        <w:tc>
          <w:tcPr>
            <w:tcW w:w="851" w:type="dxa"/>
            <w:noWrap/>
            <w:hideMark/>
          </w:tcPr>
          <w:p w14:paraId="76A0F916"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-2.06</w:t>
            </w:r>
          </w:p>
        </w:tc>
        <w:tc>
          <w:tcPr>
            <w:tcW w:w="1043" w:type="dxa"/>
            <w:noWrap/>
            <w:hideMark/>
          </w:tcPr>
          <w:p w14:paraId="1880AA0B"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0.04</w:t>
            </w:r>
          </w:p>
        </w:tc>
        <w:tc>
          <w:tcPr>
            <w:tcW w:w="893" w:type="dxa"/>
            <w:noWrap/>
            <w:hideMark/>
          </w:tcPr>
          <w:p w14:paraId="1B0834F3"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-1.76</w:t>
            </w:r>
          </w:p>
        </w:tc>
        <w:tc>
          <w:tcPr>
            <w:tcW w:w="1295" w:type="dxa"/>
            <w:noWrap/>
            <w:hideMark/>
          </w:tcPr>
          <w:p w14:paraId="24E416A9"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-0.05</w:t>
            </w:r>
          </w:p>
        </w:tc>
      </w:tr>
      <w:tr w:rsidR="00881898" w:rsidRPr="009E4434" w14:paraId="0414A08F" w14:textId="77777777" w:rsidTr="009E4434">
        <w:trPr>
          <w:trHeight w:val="20"/>
        </w:trPr>
        <w:tc>
          <w:tcPr>
            <w:tcW w:w="3683" w:type="dxa"/>
            <w:hideMark/>
          </w:tcPr>
          <w:p w14:paraId="64E1D1E7" w14:textId="77777777" w:rsidR="00881898" w:rsidRPr="009E4434" w:rsidRDefault="00881898" w:rsidP="009E4434">
            <w:pPr>
              <w:spacing w:after="0" w:line="240" w:lineRule="auto"/>
              <w:ind w:right="-1"/>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constant</w:t>
            </w:r>
          </w:p>
        </w:tc>
        <w:tc>
          <w:tcPr>
            <w:tcW w:w="772" w:type="dxa"/>
            <w:noWrap/>
            <w:hideMark/>
          </w:tcPr>
          <w:p w14:paraId="463E74F1"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-2.10</w:t>
            </w:r>
          </w:p>
        </w:tc>
        <w:tc>
          <w:tcPr>
            <w:tcW w:w="1210" w:type="dxa"/>
            <w:noWrap/>
            <w:hideMark/>
          </w:tcPr>
          <w:p w14:paraId="65191C36"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0.12</w:t>
            </w:r>
          </w:p>
        </w:tc>
        <w:tc>
          <w:tcPr>
            <w:tcW w:w="851" w:type="dxa"/>
            <w:noWrap/>
            <w:hideMark/>
          </w:tcPr>
          <w:p w14:paraId="0F5C3B95"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-17.14</w:t>
            </w:r>
          </w:p>
        </w:tc>
        <w:tc>
          <w:tcPr>
            <w:tcW w:w="1043" w:type="dxa"/>
            <w:noWrap/>
            <w:hideMark/>
          </w:tcPr>
          <w:p w14:paraId="60666F2F"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0.00</w:t>
            </w:r>
          </w:p>
        </w:tc>
        <w:tc>
          <w:tcPr>
            <w:tcW w:w="893" w:type="dxa"/>
            <w:noWrap/>
            <w:hideMark/>
          </w:tcPr>
          <w:p w14:paraId="54C456C8"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-2.32</w:t>
            </w:r>
          </w:p>
        </w:tc>
        <w:tc>
          <w:tcPr>
            <w:tcW w:w="1295" w:type="dxa"/>
            <w:noWrap/>
            <w:hideMark/>
          </w:tcPr>
          <w:p w14:paraId="0B422867" w14:textId="77777777" w:rsidR="00881898" w:rsidRPr="009E4434" w:rsidRDefault="0088189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-1.85</w:t>
            </w:r>
          </w:p>
        </w:tc>
      </w:tr>
      <w:tr w:rsidR="00531CC0" w:rsidRPr="009E4434" w14:paraId="541FB6C3" w14:textId="77777777" w:rsidTr="009E4434">
        <w:trPr>
          <w:trHeight w:val="20"/>
        </w:trPr>
        <w:tc>
          <w:tcPr>
            <w:tcW w:w="9747" w:type="dxa"/>
            <w:gridSpan w:val="7"/>
          </w:tcPr>
          <w:p w14:paraId="266036B6" w14:textId="77777777" w:rsidR="00531CC0" w:rsidRPr="009E4434" w:rsidRDefault="00633B19"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vertAlign w:val="superscript"/>
              </w:rPr>
              <w:t>1</w:t>
            </w:r>
            <w:r w:rsidRPr="009E4434">
              <w:rPr>
                <w:rFonts w:ascii="Times New Roman" w:hAnsi="Times New Roman" w:cs="Times New Roman"/>
                <w:color w:val="000000"/>
                <w:sz w:val="20"/>
                <w:szCs w:val="20"/>
              </w:rPr>
              <w:t xml:space="preserve"> —likelihood ratio chi-square test,</w:t>
            </w:r>
            <w:r w:rsidRPr="009E4434">
              <w:rPr>
                <w:rFonts w:ascii="Times New Roman" w:eastAsia="Times New Roman" w:hAnsi="Times New Roman" w:cs="Times New Roman"/>
                <w:color w:val="000000"/>
                <w:sz w:val="20"/>
                <w:szCs w:val="20"/>
              </w:rPr>
              <w:br/>
            </w:r>
            <w:r w:rsidRPr="009E4434">
              <w:rPr>
                <w:rFonts w:ascii="Times New Roman" w:hAnsi="Times New Roman" w:cs="Times New Roman"/>
                <w:color w:val="000000"/>
                <w:sz w:val="20"/>
                <w:szCs w:val="20"/>
                <w:vertAlign w:val="superscript"/>
              </w:rPr>
              <w:t>2</w:t>
            </w:r>
            <w:r w:rsidRPr="009E4434">
              <w:rPr>
                <w:rFonts w:ascii="Times New Roman" w:hAnsi="Times New Roman" w:cs="Times New Roman"/>
                <w:color w:val="000000"/>
                <w:sz w:val="20"/>
                <w:szCs w:val="20"/>
              </w:rPr>
              <w:t xml:space="preserve"> — probability of receiving this chi-square value,</w:t>
            </w:r>
            <w:r w:rsidRPr="009E4434">
              <w:rPr>
                <w:rFonts w:ascii="Times New Roman" w:eastAsia="Times New Roman" w:hAnsi="Times New Roman" w:cs="Times New Roman"/>
                <w:color w:val="000000"/>
                <w:sz w:val="20"/>
                <w:szCs w:val="20"/>
              </w:rPr>
              <w:br/>
            </w:r>
            <w:r w:rsidRPr="009E4434">
              <w:rPr>
                <w:rFonts w:ascii="Times New Roman" w:hAnsi="Times New Roman" w:cs="Times New Roman"/>
                <w:color w:val="000000"/>
                <w:sz w:val="20"/>
                <w:szCs w:val="20"/>
                <w:vertAlign w:val="superscript"/>
              </w:rPr>
              <w:t>3</w:t>
            </w:r>
            <w:r w:rsidRPr="009E4434">
              <w:rPr>
                <w:rFonts w:ascii="Times New Roman" w:hAnsi="Times New Roman" w:cs="Times New Roman"/>
                <w:color w:val="000000"/>
                <w:sz w:val="20"/>
                <w:szCs w:val="20"/>
              </w:rPr>
              <w:t xml:space="preserve"> — z-value, </w:t>
            </w:r>
            <w:r w:rsidRPr="009E4434">
              <w:rPr>
                <w:rFonts w:ascii="Times New Roman" w:hAnsi="Times New Roman" w:cs="Times New Roman"/>
                <w:color w:val="000000"/>
                <w:sz w:val="20"/>
                <w:szCs w:val="20"/>
                <w:vertAlign w:val="superscript"/>
              </w:rPr>
              <w:t>4</w:t>
            </w:r>
            <w:r w:rsidRPr="009E4434">
              <w:rPr>
                <w:rFonts w:ascii="Times New Roman" w:hAnsi="Times New Roman" w:cs="Times New Roman"/>
                <w:color w:val="000000"/>
                <w:sz w:val="20"/>
                <w:szCs w:val="20"/>
              </w:rPr>
              <w:t xml:space="preserve"> — double p-value.</w:t>
            </w:r>
          </w:p>
        </w:tc>
      </w:tr>
    </w:tbl>
    <w:p w14:paraId="5FB33E17" w14:textId="77777777" w:rsidR="00C9339C" w:rsidRPr="009E4434" w:rsidRDefault="00C9339C" w:rsidP="004B0B40">
      <w:pPr>
        <w:spacing w:after="0" w:line="360" w:lineRule="auto"/>
        <w:ind w:right="-1"/>
        <w:jc w:val="center"/>
        <w:rPr>
          <w:rFonts w:ascii="Times New Roman" w:hAnsi="Times New Roman" w:cs="Times New Roman"/>
          <w:sz w:val="20"/>
          <w:szCs w:val="20"/>
        </w:rPr>
      </w:pPr>
      <w:r w:rsidRPr="009E4434">
        <w:rPr>
          <w:rFonts w:ascii="Times New Roman" w:hAnsi="Times New Roman" w:cs="Times New Roman"/>
          <w:sz w:val="20"/>
          <w:szCs w:val="20"/>
        </w:rPr>
        <w:t xml:space="preserve">Fig. 4 — Random-effects </w:t>
      </w:r>
      <w:proofErr w:type="spellStart"/>
      <w:r w:rsidRPr="009E4434">
        <w:rPr>
          <w:rFonts w:ascii="Times New Roman" w:hAnsi="Times New Roman" w:cs="Times New Roman"/>
          <w:sz w:val="20"/>
          <w:szCs w:val="20"/>
        </w:rPr>
        <w:t>probit</w:t>
      </w:r>
      <w:proofErr w:type="spellEnd"/>
      <w:r w:rsidRPr="009E4434">
        <w:rPr>
          <w:rFonts w:ascii="Times New Roman" w:hAnsi="Times New Roman" w:cs="Times New Roman"/>
          <w:sz w:val="20"/>
          <w:szCs w:val="20"/>
        </w:rPr>
        <w:t xml:space="preserve"> regression using indicators of the lowest hierarchy </w:t>
      </w:r>
    </w:p>
    <w:p w14:paraId="7A61DDBB" w14:textId="77777777" w:rsidR="00E709B7" w:rsidRPr="00C57DFA" w:rsidRDefault="00531CC0" w:rsidP="004B0B40">
      <w:pPr>
        <w:spacing w:after="0" w:line="360" w:lineRule="auto"/>
        <w:ind w:right="-1"/>
        <w:jc w:val="both"/>
        <w:rPr>
          <w:rFonts w:ascii="Times New Roman" w:hAnsi="Times New Roman" w:cs="Times New Roman"/>
          <w:sz w:val="28"/>
          <w:szCs w:val="28"/>
        </w:rPr>
      </w:pPr>
      <w:r w:rsidRPr="00C57DFA">
        <w:rPr>
          <w:rFonts w:ascii="Times New Roman" w:hAnsi="Times New Roman" w:cs="Times New Roman"/>
          <w:sz w:val="28"/>
          <w:szCs w:val="28"/>
        </w:rPr>
        <w:t xml:space="preserve">The random-effects logit regression using aggregated indicators and those of the lowest hierarchy level returns almost the same results as the respective </w:t>
      </w:r>
      <w:proofErr w:type="spellStart"/>
      <w:r w:rsidRPr="00C57DFA">
        <w:rPr>
          <w:rFonts w:ascii="Times New Roman" w:hAnsi="Times New Roman" w:cs="Times New Roman"/>
          <w:sz w:val="28"/>
          <w:szCs w:val="28"/>
        </w:rPr>
        <w:t>probit</w:t>
      </w:r>
      <w:proofErr w:type="spellEnd"/>
      <w:r w:rsidRPr="00C57DFA">
        <w:rPr>
          <w:rFonts w:ascii="Times New Roman" w:hAnsi="Times New Roman" w:cs="Times New Roman"/>
          <w:sz w:val="28"/>
          <w:szCs w:val="28"/>
        </w:rPr>
        <w:t xml:space="preserve"> models do. However, neither model provided the required prediction quality.</w:t>
      </w:r>
    </w:p>
    <w:p w14:paraId="178445EC" w14:textId="77777777" w:rsidR="00E709B7" w:rsidRPr="00C57DFA" w:rsidRDefault="00E709B7" w:rsidP="004B0B40">
      <w:pPr>
        <w:pStyle w:val="1"/>
        <w:spacing w:before="0" w:line="360" w:lineRule="auto"/>
        <w:ind w:right="-1"/>
        <w:rPr>
          <w:rFonts w:ascii="Times New Roman" w:hAnsi="Times New Roman" w:cs="Times New Roman"/>
          <w:b/>
          <w:color w:val="auto"/>
          <w:sz w:val="28"/>
          <w:szCs w:val="28"/>
        </w:rPr>
      </w:pPr>
      <w:bookmarkStart w:id="1" w:name="_Toc454496778"/>
      <w:r w:rsidRPr="00C57DFA">
        <w:rPr>
          <w:rFonts w:ascii="Times New Roman" w:hAnsi="Times New Roman" w:cs="Times New Roman"/>
          <w:b/>
          <w:color w:val="auto"/>
          <w:sz w:val="28"/>
          <w:szCs w:val="28"/>
        </w:rPr>
        <w:lastRenderedPageBreak/>
        <w:t>Modeling with account for macroeconomic environment</w:t>
      </w:r>
      <w:bookmarkEnd w:id="1"/>
    </w:p>
    <w:p w14:paraId="487B334B" w14:textId="77777777" w:rsidR="00E709B7" w:rsidRPr="00C57DFA" w:rsidRDefault="00E709B7" w:rsidP="004B0B40">
      <w:pPr>
        <w:spacing w:after="0" w:line="360" w:lineRule="auto"/>
        <w:ind w:right="-1"/>
        <w:jc w:val="both"/>
        <w:rPr>
          <w:rFonts w:ascii="Times New Roman" w:eastAsia="Calibri" w:hAnsi="Times New Roman" w:cs="Times New Roman"/>
          <w:sz w:val="28"/>
          <w:szCs w:val="28"/>
        </w:rPr>
      </w:pPr>
      <w:r w:rsidRPr="00C57DFA">
        <w:rPr>
          <w:rFonts w:ascii="Times New Roman" w:hAnsi="Times New Roman" w:cs="Times New Roman"/>
          <w:sz w:val="28"/>
          <w:szCs w:val="28"/>
        </w:rPr>
        <w:t>Adding macroeconomic indicators improved the model adequacy. For example, the chi-square test returned better statistics for logit regression using the indicators of the lowest hierarchy level, as displayed in Fig. 5.</w:t>
      </w:r>
    </w:p>
    <w:tbl>
      <w:tblPr>
        <w:tblW w:w="9747" w:type="dxa"/>
        <w:tblLook w:val="04A0" w:firstRow="1" w:lastRow="0" w:firstColumn="1" w:lastColumn="0" w:noHBand="0" w:noVBand="1"/>
      </w:tblPr>
      <w:tblGrid>
        <w:gridCol w:w="3660"/>
        <w:gridCol w:w="984"/>
        <w:gridCol w:w="914"/>
        <w:gridCol w:w="929"/>
        <w:gridCol w:w="1134"/>
        <w:gridCol w:w="802"/>
        <w:gridCol w:w="1324"/>
      </w:tblGrid>
      <w:tr w:rsidR="004560E3" w:rsidRPr="009E4434" w14:paraId="5641DFAA" w14:textId="77777777" w:rsidTr="009E4434">
        <w:trPr>
          <w:trHeight w:val="20"/>
        </w:trPr>
        <w:tc>
          <w:tcPr>
            <w:tcW w:w="3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BA5CE" w14:textId="77777777" w:rsidR="004560E3" w:rsidRPr="009E4434" w:rsidRDefault="002261F3" w:rsidP="009E4434">
            <w:pPr>
              <w:spacing w:after="0" w:line="240" w:lineRule="auto"/>
              <w:ind w:right="-1"/>
              <w:jc w:val="center"/>
              <w:rPr>
                <w:rFonts w:ascii="Times New Roman" w:eastAsia="Times New Roman" w:hAnsi="Times New Roman" w:cs="Times New Roman"/>
                <w:b/>
                <w:bCs/>
                <w:sz w:val="20"/>
                <w:szCs w:val="20"/>
              </w:rPr>
            </w:pPr>
            <w:r w:rsidRPr="009E4434">
              <w:rPr>
                <w:rFonts w:ascii="Times New Roman" w:hAnsi="Times New Roman" w:cs="Times New Roman"/>
                <w:b/>
                <w:sz w:val="20"/>
                <w:szCs w:val="20"/>
              </w:rPr>
              <w:t>Random-effects logit regression</w:t>
            </w:r>
          </w:p>
        </w:tc>
        <w:tc>
          <w:tcPr>
            <w:tcW w:w="1898" w:type="dxa"/>
            <w:gridSpan w:val="2"/>
            <w:tcBorders>
              <w:top w:val="single" w:sz="4" w:space="0" w:color="auto"/>
              <w:left w:val="nil"/>
              <w:bottom w:val="single" w:sz="4" w:space="0" w:color="auto"/>
              <w:right w:val="single" w:sz="4" w:space="0" w:color="auto"/>
            </w:tcBorders>
            <w:shd w:val="clear" w:color="auto" w:fill="auto"/>
            <w:vAlign w:val="bottom"/>
            <w:hideMark/>
          </w:tcPr>
          <w:p w14:paraId="71C49657" w14:textId="77777777" w:rsidR="004560E3" w:rsidRPr="009E4434" w:rsidRDefault="002B5AA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 xml:space="preserve">Number of </w:t>
            </w:r>
            <w:proofErr w:type="spellStart"/>
            <w:r w:rsidRPr="009E4434">
              <w:rPr>
                <w:rFonts w:ascii="Times New Roman" w:hAnsi="Times New Roman" w:cs="Times New Roman"/>
                <w:color w:val="000000"/>
                <w:sz w:val="20"/>
                <w:szCs w:val="20"/>
              </w:rPr>
              <w:t>obs</w:t>
            </w:r>
            <w:proofErr w:type="spellEnd"/>
            <w:r w:rsidRPr="009E4434">
              <w:rPr>
                <w:rFonts w:ascii="Times New Roman" w:hAnsi="Times New Roman" w:cs="Times New Roman"/>
                <w:color w:val="000000"/>
                <w:sz w:val="20"/>
                <w:szCs w:val="20"/>
              </w:rPr>
              <w:t xml:space="preserve"> = 5,765</w:t>
            </w:r>
          </w:p>
        </w:tc>
        <w:tc>
          <w:tcPr>
            <w:tcW w:w="20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DC884E3"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proofErr w:type="spellStart"/>
            <w:r w:rsidRPr="009E4434">
              <w:rPr>
                <w:rFonts w:ascii="Times New Roman" w:hAnsi="Times New Roman" w:cs="Times New Roman"/>
                <w:color w:val="000000"/>
                <w:sz w:val="20"/>
                <w:szCs w:val="20"/>
              </w:rPr>
              <w:t>obs</w:t>
            </w:r>
            <w:proofErr w:type="spellEnd"/>
            <w:r w:rsidRPr="009E4434">
              <w:rPr>
                <w:rFonts w:ascii="Times New Roman" w:hAnsi="Times New Roman" w:cs="Times New Roman"/>
                <w:color w:val="000000"/>
                <w:sz w:val="20"/>
                <w:szCs w:val="20"/>
              </w:rPr>
              <w:t xml:space="preserve"> per group: min = 1, </w:t>
            </w:r>
            <w:proofErr w:type="spellStart"/>
            <w:r w:rsidRPr="009E4434">
              <w:rPr>
                <w:rFonts w:ascii="Times New Roman" w:hAnsi="Times New Roman" w:cs="Times New Roman"/>
                <w:color w:val="000000"/>
                <w:sz w:val="20"/>
                <w:szCs w:val="20"/>
              </w:rPr>
              <w:t>avg</w:t>
            </w:r>
            <w:proofErr w:type="spellEnd"/>
            <w:r w:rsidRPr="009E4434">
              <w:rPr>
                <w:rFonts w:ascii="Times New Roman" w:hAnsi="Times New Roman" w:cs="Times New Roman"/>
                <w:color w:val="000000"/>
                <w:sz w:val="20"/>
                <w:szCs w:val="20"/>
              </w:rPr>
              <w:t xml:space="preserve"> = 5.1, max = 6</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09EC6EB"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LR chi2(29) = 108.65</w:t>
            </w:r>
            <w:r w:rsidRPr="009E4434">
              <w:rPr>
                <w:rFonts w:ascii="Times New Roman" w:eastAsia="Times New Roman" w:hAnsi="Times New Roman" w:cs="Times New Roman"/>
                <w:color w:val="000000"/>
                <w:sz w:val="20"/>
                <w:szCs w:val="20"/>
              </w:rPr>
              <w:br/>
            </w:r>
            <w:proofErr w:type="spellStart"/>
            <w:r w:rsidRPr="009E4434">
              <w:rPr>
                <w:rFonts w:ascii="Times New Roman" w:hAnsi="Times New Roman" w:cs="Times New Roman"/>
                <w:color w:val="000000"/>
                <w:sz w:val="20"/>
                <w:szCs w:val="20"/>
              </w:rPr>
              <w:t>Prob</w:t>
            </w:r>
            <w:proofErr w:type="spellEnd"/>
            <w:r w:rsidRPr="009E4434">
              <w:rPr>
                <w:rFonts w:ascii="Times New Roman" w:hAnsi="Times New Roman" w:cs="Times New Roman"/>
                <w:color w:val="000000"/>
                <w:sz w:val="20"/>
                <w:szCs w:val="20"/>
              </w:rPr>
              <w:t xml:space="preserve"> &gt; chi2 =0.0000</w:t>
            </w:r>
          </w:p>
        </w:tc>
      </w:tr>
      <w:tr w:rsidR="004560E3" w:rsidRPr="009E4434" w14:paraId="4C68DA63" w14:textId="77777777" w:rsidTr="009E4434">
        <w:trPr>
          <w:trHeight w:val="2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382E62BC"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group variable: license number</w:t>
            </w:r>
          </w:p>
        </w:tc>
        <w:tc>
          <w:tcPr>
            <w:tcW w:w="1898" w:type="dxa"/>
            <w:gridSpan w:val="2"/>
            <w:tcBorders>
              <w:top w:val="single" w:sz="4" w:space="0" w:color="auto"/>
              <w:left w:val="nil"/>
              <w:bottom w:val="single" w:sz="4" w:space="0" w:color="auto"/>
              <w:right w:val="single" w:sz="4" w:space="0" w:color="auto"/>
            </w:tcBorders>
            <w:shd w:val="clear" w:color="auto" w:fill="auto"/>
            <w:vAlign w:val="bottom"/>
            <w:hideMark/>
          </w:tcPr>
          <w:p w14:paraId="668EA84D" w14:textId="77777777" w:rsidR="004560E3" w:rsidRPr="009E4434" w:rsidRDefault="002B5AA8"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number of groups = 1,122</w:t>
            </w:r>
          </w:p>
        </w:tc>
        <w:tc>
          <w:tcPr>
            <w:tcW w:w="2063" w:type="dxa"/>
            <w:gridSpan w:val="2"/>
            <w:vMerge/>
            <w:tcBorders>
              <w:top w:val="single" w:sz="4" w:space="0" w:color="auto"/>
              <w:left w:val="single" w:sz="4" w:space="0" w:color="auto"/>
              <w:bottom w:val="single" w:sz="4" w:space="0" w:color="auto"/>
              <w:right w:val="single" w:sz="4" w:space="0" w:color="auto"/>
            </w:tcBorders>
            <w:vAlign w:val="center"/>
            <w:hideMark/>
          </w:tcPr>
          <w:p w14:paraId="09DB824B" w14:textId="77777777" w:rsidR="004560E3" w:rsidRPr="009E4434" w:rsidRDefault="004560E3" w:rsidP="009E4434">
            <w:pPr>
              <w:spacing w:after="0" w:line="240" w:lineRule="auto"/>
              <w:ind w:right="-1"/>
              <w:rPr>
                <w:rFonts w:ascii="Times New Roman" w:eastAsia="Times New Roman" w:hAnsi="Times New Roman" w:cs="Times New Roman"/>
                <w:color w:val="000000"/>
                <w:sz w:val="20"/>
                <w:szCs w:val="20"/>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45223570" w14:textId="77777777" w:rsidR="004560E3" w:rsidRPr="009E4434" w:rsidRDefault="004560E3" w:rsidP="009E4434">
            <w:pPr>
              <w:spacing w:after="0" w:line="240" w:lineRule="auto"/>
              <w:ind w:right="-1"/>
              <w:rPr>
                <w:rFonts w:ascii="Times New Roman" w:eastAsia="Times New Roman" w:hAnsi="Times New Roman" w:cs="Times New Roman"/>
                <w:color w:val="000000"/>
                <w:sz w:val="20"/>
                <w:szCs w:val="20"/>
              </w:rPr>
            </w:pPr>
          </w:p>
        </w:tc>
      </w:tr>
      <w:tr w:rsidR="004560E3" w:rsidRPr="009E4434" w14:paraId="2069EF3C" w14:textId="77777777" w:rsidTr="009E4434">
        <w:trPr>
          <w:trHeight w:val="2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6D8ED37D" w14:textId="77777777" w:rsidR="004560E3" w:rsidRPr="009E4434" w:rsidRDefault="004560E3" w:rsidP="009E4434">
            <w:pPr>
              <w:spacing w:after="0" w:line="240" w:lineRule="auto"/>
              <w:ind w:right="-1"/>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1B546636"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proofErr w:type="spellStart"/>
            <w:r w:rsidRPr="009E4434">
              <w:rPr>
                <w:rFonts w:ascii="Times New Roman" w:hAnsi="Times New Roman" w:cs="Times New Roman"/>
                <w:color w:val="000000"/>
                <w:sz w:val="20"/>
                <w:szCs w:val="20"/>
              </w:rPr>
              <w:t>Coef</w:t>
            </w:r>
            <w:proofErr w:type="spellEnd"/>
            <w:r w:rsidRPr="009E4434">
              <w:rPr>
                <w:rFonts w:ascii="Times New Roman" w:hAnsi="Times New Roman" w:cs="Times New Roman"/>
                <w:color w:val="000000"/>
                <w:sz w:val="20"/>
                <w:szCs w:val="20"/>
              </w:rPr>
              <w:t>.</w:t>
            </w:r>
          </w:p>
        </w:tc>
        <w:tc>
          <w:tcPr>
            <w:tcW w:w="914" w:type="dxa"/>
            <w:tcBorders>
              <w:top w:val="nil"/>
              <w:left w:val="nil"/>
              <w:bottom w:val="single" w:sz="4" w:space="0" w:color="auto"/>
              <w:right w:val="single" w:sz="4" w:space="0" w:color="auto"/>
            </w:tcBorders>
            <w:shd w:val="clear" w:color="auto" w:fill="auto"/>
            <w:vAlign w:val="bottom"/>
            <w:hideMark/>
          </w:tcPr>
          <w:p w14:paraId="0FE1EC94"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 xml:space="preserve">Std. </w:t>
            </w:r>
            <w:proofErr w:type="gramStart"/>
            <w:r w:rsidRPr="009E4434">
              <w:rPr>
                <w:rFonts w:ascii="Times New Roman" w:hAnsi="Times New Roman" w:cs="Times New Roman"/>
                <w:color w:val="000000"/>
                <w:sz w:val="20"/>
                <w:szCs w:val="20"/>
              </w:rPr>
              <w:t>err</w:t>
            </w:r>
            <w:proofErr w:type="gramEnd"/>
            <w:r w:rsidRPr="009E4434">
              <w:rPr>
                <w:rFonts w:ascii="Times New Roman" w:hAnsi="Times New Roman" w:cs="Times New Roman"/>
                <w:color w:val="000000"/>
                <w:sz w:val="20"/>
                <w:szCs w:val="20"/>
              </w:rPr>
              <w:t>.</w:t>
            </w:r>
          </w:p>
        </w:tc>
        <w:tc>
          <w:tcPr>
            <w:tcW w:w="929" w:type="dxa"/>
            <w:tcBorders>
              <w:top w:val="nil"/>
              <w:left w:val="nil"/>
              <w:bottom w:val="single" w:sz="4" w:space="0" w:color="auto"/>
              <w:right w:val="single" w:sz="4" w:space="0" w:color="auto"/>
            </w:tcBorders>
            <w:shd w:val="clear" w:color="auto" w:fill="auto"/>
            <w:noWrap/>
            <w:vAlign w:val="bottom"/>
            <w:hideMark/>
          </w:tcPr>
          <w:p w14:paraId="693D9DC4"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z</w:t>
            </w:r>
          </w:p>
        </w:tc>
        <w:tc>
          <w:tcPr>
            <w:tcW w:w="1134" w:type="dxa"/>
            <w:tcBorders>
              <w:top w:val="nil"/>
              <w:left w:val="nil"/>
              <w:bottom w:val="single" w:sz="4" w:space="0" w:color="auto"/>
              <w:right w:val="single" w:sz="4" w:space="0" w:color="auto"/>
            </w:tcBorders>
            <w:shd w:val="clear" w:color="auto" w:fill="auto"/>
            <w:noWrap/>
            <w:vAlign w:val="bottom"/>
            <w:hideMark/>
          </w:tcPr>
          <w:p w14:paraId="7BDA4449"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P&gt;|z|</w:t>
            </w:r>
          </w:p>
        </w:tc>
        <w:tc>
          <w:tcPr>
            <w:tcW w:w="2126" w:type="dxa"/>
            <w:gridSpan w:val="2"/>
            <w:tcBorders>
              <w:top w:val="single" w:sz="4" w:space="0" w:color="auto"/>
              <w:left w:val="nil"/>
              <w:bottom w:val="single" w:sz="4" w:space="0" w:color="auto"/>
              <w:right w:val="single" w:sz="4" w:space="0" w:color="auto"/>
            </w:tcBorders>
            <w:shd w:val="clear" w:color="auto" w:fill="auto"/>
            <w:vAlign w:val="bottom"/>
            <w:hideMark/>
          </w:tcPr>
          <w:p w14:paraId="7F7AADC9"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95% Conf. Interval</w:t>
            </w:r>
          </w:p>
        </w:tc>
      </w:tr>
      <w:tr w:rsidR="004560E3" w:rsidRPr="009E4434" w14:paraId="4C7AAD32" w14:textId="77777777" w:rsidTr="009E4434">
        <w:trPr>
          <w:trHeight w:val="20"/>
        </w:trPr>
        <w:tc>
          <w:tcPr>
            <w:tcW w:w="3660" w:type="dxa"/>
            <w:tcBorders>
              <w:top w:val="nil"/>
              <w:left w:val="single" w:sz="4" w:space="0" w:color="auto"/>
              <w:bottom w:val="single" w:sz="4" w:space="0" w:color="auto"/>
              <w:right w:val="single" w:sz="4" w:space="0" w:color="auto"/>
            </w:tcBorders>
            <w:shd w:val="clear" w:color="auto" w:fill="auto"/>
            <w:vAlign w:val="bottom"/>
            <w:hideMark/>
          </w:tcPr>
          <w:p w14:paraId="1B0B83FA" w14:textId="77777777" w:rsidR="004560E3" w:rsidRPr="009E4434" w:rsidRDefault="004560E3" w:rsidP="009E4434">
            <w:pPr>
              <w:spacing w:after="0" w:line="240" w:lineRule="auto"/>
              <w:ind w:right="-1"/>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refinancing rate</w:t>
            </w:r>
          </w:p>
        </w:tc>
        <w:tc>
          <w:tcPr>
            <w:tcW w:w="984" w:type="dxa"/>
            <w:tcBorders>
              <w:top w:val="nil"/>
              <w:left w:val="nil"/>
              <w:bottom w:val="single" w:sz="4" w:space="0" w:color="auto"/>
              <w:right w:val="single" w:sz="4" w:space="0" w:color="auto"/>
            </w:tcBorders>
            <w:shd w:val="clear" w:color="auto" w:fill="auto"/>
            <w:noWrap/>
            <w:vAlign w:val="bottom"/>
            <w:hideMark/>
          </w:tcPr>
          <w:p w14:paraId="23D2C39F"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-1.50</w:t>
            </w:r>
          </w:p>
        </w:tc>
        <w:tc>
          <w:tcPr>
            <w:tcW w:w="914" w:type="dxa"/>
            <w:tcBorders>
              <w:top w:val="nil"/>
              <w:left w:val="nil"/>
              <w:bottom w:val="single" w:sz="4" w:space="0" w:color="auto"/>
              <w:right w:val="single" w:sz="4" w:space="0" w:color="auto"/>
            </w:tcBorders>
            <w:shd w:val="clear" w:color="auto" w:fill="auto"/>
            <w:noWrap/>
            <w:vAlign w:val="bottom"/>
            <w:hideMark/>
          </w:tcPr>
          <w:p w14:paraId="67A76E45"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0.33</w:t>
            </w:r>
          </w:p>
        </w:tc>
        <w:tc>
          <w:tcPr>
            <w:tcW w:w="929" w:type="dxa"/>
            <w:tcBorders>
              <w:top w:val="nil"/>
              <w:left w:val="nil"/>
              <w:bottom w:val="single" w:sz="4" w:space="0" w:color="auto"/>
              <w:right w:val="single" w:sz="4" w:space="0" w:color="auto"/>
            </w:tcBorders>
            <w:shd w:val="clear" w:color="auto" w:fill="auto"/>
            <w:noWrap/>
            <w:vAlign w:val="bottom"/>
            <w:hideMark/>
          </w:tcPr>
          <w:p w14:paraId="1D3E4029"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-4.51</w:t>
            </w:r>
          </w:p>
        </w:tc>
        <w:tc>
          <w:tcPr>
            <w:tcW w:w="1134" w:type="dxa"/>
            <w:tcBorders>
              <w:top w:val="nil"/>
              <w:left w:val="nil"/>
              <w:bottom w:val="single" w:sz="4" w:space="0" w:color="auto"/>
              <w:right w:val="single" w:sz="4" w:space="0" w:color="auto"/>
            </w:tcBorders>
            <w:shd w:val="clear" w:color="auto" w:fill="auto"/>
            <w:noWrap/>
            <w:vAlign w:val="bottom"/>
            <w:hideMark/>
          </w:tcPr>
          <w:p w14:paraId="7830185E"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0.000</w:t>
            </w:r>
          </w:p>
        </w:tc>
        <w:tc>
          <w:tcPr>
            <w:tcW w:w="802" w:type="dxa"/>
            <w:tcBorders>
              <w:top w:val="nil"/>
              <w:left w:val="nil"/>
              <w:bottom w:val="single" w:sz="4" w:space="0" w:color="auto"/>
              <w:right w:val="single" w:sz="4" w:space="0" w:color="auto"/>
            </w:tcBorders>
            <w:shd w:val="clear" w:color="auto" w:fill="auto"/>
            <w:noWrap/>
            <w:vAlign w:val="bottom"/>
            <w:hideMark/>
          </w:tcPr>
          <w:p w14:paraId="6823C62E"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-2.15</w:t>
            </w:r>
          </w:p>
        </w:tc>
        <w:tc>
          <w:tcPr>
            <w:tcW w:w="1324" w:type="dxa"/>
            <w:tcBorders>
              <w:top w:val="nil"/>
              <w:left w:val="nil"/>
              <w:bottom w:val="single" w:sz="4" w:space="0" w:color="auto"/>
              <w:right w:val="single" w:sz="4" w:space="0" w:color="auto"/>
            </w:tcBorders>
            <w:shd w:val="clear" w:color="auto" w:fill="auto"/>
            <w:noWrap/>
            <w:vAlign w:val="bottom"/>
            <w:hideMark/>
          </w:tcPr>
          <w:p w14:paraId="3F76D29D"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-0.85</w:t>
            </w:r>
          </w:p>
        </w:tc>
      </w:tr>
      <w:tr w:rsidR="004560E3" w:rsidRPr="009E4434" w14:paraId="027D0F1C" w14:textId="77777777" w:rsidTr="009E4434">
        <w:trPr>
          <w:trHeight w:val="20"/>
        </w:trPr>
        <w:tc>
          <w:tcPr>
            <w:tcW w:w="3660" w:type="dxa"/>
            <w:tcBorders>
              <w:top w:val="nil"/>
              <w:left w:val="single" w:sz="4" w:space="0" w:color="auto"/>
              <w:bottom w:val="single" w:sz="4" w:space="0" w:color="auto"/>
              <w:right w:val="single" w:sz="4" w:space="0" w:color="auto"/>
            </w:tcBorders>
            <w:shd w:val="clear" w:color="auto" w:fill="auto"/>
            <w:vAlign w:val="bottom"/>
            <w:hideMark/>
          </w:tcPr>
          <w:p w14:paraId="1953410A" w14:textId="77777777" w:rsidR="004560E3" w:rsidRPr="009E4434" w:rsidRDefault="004560E3" w:rsidP="009E4434">
            <w:pPr>
              <w:spacing w:after="0" w:line="240" w:lineRule="auto"/>
              <w:ind w:right="-1"/>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Credits with a maturity date of 1 to 3 years</w:t>
            </w:r>
          </w:p>
        </w:tc>
        <w:tc>
          <w:tcPr>
            <w:tcW w:w="984" w:type="dxa"/>
            <w:tcBorders>
              <w:top w:val="nil"/>
              <w:left w:val="nil"/>
              <w:bottom w:val="single" w:sz="4" w:space="0" w:color="auto"/>
              <w:right w:val="single" w:sz="4" w:space="0" w:color="auto"/>
            </w:tcBorders>
            <w:shd w:val="clear" w:color="auto" w:fill="auto"/>
            <w:noWrap/>
            <w:vAlign w:val="bottom"/>
            <w:hideMark/>
          </w:tcPr>
          <w:p w14:paraId="29F2E95C"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-5.35</w:t>
            </w:r>
          </w:p>
        </w:tc>
        <w:tc>
          <w:tcPr>
            <w:tcW w:w="914" w:type="dxa"/>
            <w:tcBorders>
              <w:top w:val="nil"/>
              <w:left w:val="nil"/>
              <w:bottom w:val="single" w:sz="4" w:space="0" w:color="auto"/>
              <w:right w:val="single" w:sz="4" w:space="0" w:color="auto"/>
            </w:tcBorders>
            <w:shd w:val="clear" w:color="auto" w:fill="auto"/>
            <w:noWrap/>
            <w:vAlign w:val="bottom"/>
            <w:hideMark/>
          </w:tcPr>
          <w:p w14:paraId="66EF4842"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2.06</w:t>
            </w:r>
          </w:p>
        </w:tc>
        <w:tc>
          <w:tcPr>
            <w:tcW w:w="929" w:type="dxa"/>
            <w:tcBorders>
              <w:top w:val="nil"/>
              <w:left w:val="nil"/>
              <w:bottom w:val="single" w:sz="4" w:space="0" w:color="auto"/>
              <w:right w:val="single" w:sz="4" w:space="0" w:color="auto"/>
            </w:tcBorders>
            <w:shd w:val="clear" w:color="auto" w:fill="auto"/>
            <w:noWrap/>
            <w:vAlign w:val="bottom"/>
            <w:hideMark/>
          </w:tcPr>
          <w:p w14:paraId="04B40404"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-2.59</w:t>
            </w:r>
          </w:p>
        </w:tc>
        <w:tc>
          <w:tcPr>
            <w:tcW w:w="1134" w:type="dxa"/>
            <w:tcBorders>
              <w:top w:val="nil"/>
              <w:left w:val="nil"/>
              <w:bottom w:val="single" w:sz="4" w:space="0" w:color="auto"/>
              <w:right w:val="single" w:sz="4" w:space="0" w:color="auto"/>
            </w:tcBorders>
            <w:shd w:val="clear" w:color="auto" w:fill="auto"/>
            <w:noWrap/>
            <w:vAlign w:val="bottom"/>
            <w:hideMark/>
          </w:tcPr>
          <w:p w14:paraId="090AC07C"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0.010</w:t>
            </w:r>
          </w:p>
        </w:tc>
        <w:tc>
          <w:tcPr>
            <w:tcW w:w="802" w:type="dxa"/>
            <w:tcBorders>
              <w:top w:val="nil"/>
              <w:left w:val="nil"/>
              <w:bottom w:val="single" w:sz="4" w:space="0" w:color="auto"/>
              <w:right w:val="single" w:sz="4" w:space="0" w:color="auto"/>
            </w:tcBorders>
            <w:shd w:val="clear" w:color="auto" w:fill="auto"/>
            <w:noWrap/>
            <w:vAlign w:val="bottom"/>
            <w:hideMark/>
          </w:tcPr>
          <w:p w14:paraId="7C86FCE8"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-9.39</w:t>
            </w:r>
          </w:p>
        </w:tc>
        <w:tc>
          <w:tcPr>
            <w:tcW w:w="1324" w:type="dxa"/>
            <w:tcBorders>
              <w:top w:val="nil"/>
              <w:left w:val="nil"/>
              <w:bottom w:val="single" w:sz="4" w:space="0" w:color="auto"/>
              <w:right w:val="single" w:sz="4" w:space="0" w:color="auto"/>
            </w:tcBorders>
            <w:shd w:val="clear" w:color="auto" w:fill="auto"/>
            <w:noWrap/>
            <w:vAlign w:val="bottom"/>
            <w:hideMark/>
          </w:tcPr>
          <w:p w14:paraId="61A14265"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-1.30</w:t>
            </w:r>
          </w:p>
        </w:tc>
      </w:tr>
      <w:tr w:rsidR="004560E3" w:rsidRPr="009E4434" w14:paraId="2C36114B" w14:textId="77777777" w:rsidTr="009E4434">
        <w:trPr>
          <w:trHeight w:val="20"/>
        </w:trPr>
        <w:tc>
          <w:tcPr>
            <w:tcW w:w="3660" w:type="dxa"/>
            <w:tcBorders>
              <w:top w:val="nil"/>
              <w:left w:val="single" w:sz="4" w:space="0" w:color="auto"/>
              <w:bottom w:val="single" w:sz="4" w:space="0" w:color="auto"/>
              <w:right w:val="single" w:sz="4" w:space="0" w:color="auto"/>
            </w:tcBorders>
            <w:shd w:val="clear" w:color="auto" w:fill="auto"/>
            <w:vAlign w:val="bottom"/>
            <w:hideMark/>
          </w:tcPr>
          <w:p w14:paraId="12B966AA" w14:textId="77777777" w:rsidR="004560E3" w:rsidRPr="009E4434" w:rsidRDefault="004560E3" w:rsidP="009E4434">
            <w:pPr>
              <w:spacing w:after="0" w:line="240" w:lineRule="auto"/>
              <w:ind w:right="-1"/>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Credits to enterprises and organizations with a maturity date of up to 180 days</w:t>
            </w:r>
          </w:p>
        </w:tc>
        <w:tc>
          <w:tcPr>
            <w:tcW w:w="984" w:type="dxa"/>
            <w:tcBorders>
              <w:top w:val="nil"/>
              <w:left w:val="nil"/>
              <w:bottom w:val="single" w:sz="4" w:space="0" w:color="auto"/>
              <w:right w:val="single" w:sz="4" w:space="0" w:color="auto"/>
            </w:tcBorders>
            <w:shd w:val="clear" w:color="auto" w:fill="auto"/>
            <w:noWrap/>
            <w:vAlign w:val="bottom"/>
            <w:hideMark/>
          </w:tcPr>
          <w:p w14:paraId="6DA431CB"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-2.07</w:t>
            </w:r>
          </w:p>
        </w:tc>
        <w:tc>
          <w:tcPr>
            <w:tcW w:w="914" w:type="dxa"/>
            <w:tcBorders>
              <w:top w:val="nil"/>
              <w:left w:val="nil"/>
              <w:bottom w:val="single" w:sz="4" w:space="0" w:color="auto"/>
              <w:right w:val="single" w:sz="4" w:space="0" w:color="auto"/>
            </w:tcBorders>
            <w:shd w:val="clear" w:color="auto" w:fill="auto"/>
            <w:noWrap/>
            <w:vAlign w:val="bottom"/>
            <w:hideMark/>
          </w:tcPr>
          <w:p w14:paraId="4F1725C4"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0.90</w:t>
            </w:r>
          </w:p>
        </w:tc>
        <w:tc>
          <w:tcPr>
            <w:tcW w:w="929" w:type="dxa"/>
            <w:tcBorders>
              <w:top w:val="nil"/>
              <w:left w:val="nil"/>
              <w:bottom w:val="single" w:sz="4" w:space="0" w:color="auto"/>
              <w:right w:val="single" w:sz="4" w:space="0" w:color="auto"/>
            </w:tcBorders>
            <w:shd w:val="clear" w:color="auto" w:fill="auto"/>
            <w:noWrap/>
            <w:vAlign w:val="bottom"/>
            <w:hideMark/>
          </w:tcPr>
          <w:p w14:paraId="4610B522"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-2.30</w:t>
            </w:r>
          </w:p>
        </w:tc>
        <w:tc>
          <w:tcPr>
            <w:tcW w:w="1134" w:type="dxa"/>
            <w:tcBorders>
              <w:top w:val="nil"/>
              <w:left w:val="nil"/>
              <w:bottom w:val="single" w:sz="4" w:space="0" w:color="auto"/>
              <w:right w:val="single" w:sz="4" w:space="0" w:color="auto"/>
            </w:tcBorders>
            <w:shd w:val="clear" w:color="auto" w:fill="auto"/>
            <w:noWrap/>
            <w:vAlign w:val="bottom"/>
            <w:hideMark/>
          </w:tcPr>
          <w:p w14:paraId="0A01A688"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0.021</w:t>
            </w:r>
          </w:p>
        </w:tc>
        <w:tc>
          <w:tcPr>
            <w:tcW w:w="802" w:type="dxa"/>
            <w:tcBorders>
              <w:top w:val="nil"/>
              <w:left w:val="nil"/>
              <w:bottom w:val="single" w:sz="4" w:space="0" w:color="auto"/>
              <w:right w:val="single" w:sz="4" w:space="0" w:color="auto"/>
            </w:tcBorders>
            <w:shd w:val="clear" w:color="auto" w:fill="auto"/>
            <w:noWrap/>
            <w:vAlign w:val="bottom"/>
            <w:hideMark/>
          </w:tcPr>
          <w:p w14:paraId="7C5E6653"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-3.83</w:t>
            </w:r>
          </w:p>
        </w:tc>
        <w:tc>
          <w:tcPr>
            <w:tcW w:w="1324" w:type="dxa"/>
            <w:tcBorders>
              <w:top w:val="nil"/>
              <w:left w:val="nil"/>
              <w:bottom w:val="single" w:sz="4" w:space="0" w:color="auto"/>
              <w:right w:val="single" w:sz="4" w:space="0" w:color="auto"/>
            </w:tcBorders>
            <w:shd w:val="clear" w:color="auto" w:fill="auto"/>
            <w:noWrap/>
            <w:vAlign w:val="bottom"/>
            <w:hideMark/>
          </w:tcPr>
          <w:p w14:paraId="4C8883D3"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-0.31</w:t>
            </w:r>
          </w:p>
        </w:tc>
      </w:tr>
      <w:tr w:rsidR="004560E3" w:rsidRPr="009E4434" w14:paraId="49ECAE04" w14:textId="77777777" w:rsidTr="009E4434">
        <w:trPr>
          <w:trHeight w:val="20"/>
        </w:trPr>
        <w:tc>
          <w:tcPr>
            <w:tcW w:w="3660" w:type="dxa"/>
            <w:tcBorders>
              <w:top w:val="nil"/>
              <w:left w:val="single" w:sz="4" w:space="0" w:color="auto"/>
              <w:bottom w:val="single" w:sz="4" w:space="0" w:color="auto"/>
              <w:right w:val="single" w:sz="4" w:space="0" w:color="auto"/>
            </w:tcBorders>
            <w:shd w:val="clear" w:color="auto" w:fill="auto"/>
            <w:vAlign w:val="bottom"/>
            <w:hideMark/>
          </w:tcPr>
          <w:p w14:paraId="31422358" w14:textId="77777777" w:rsidR="004560E3" w:rsidRPr="009E4434" w:rsidRDefault="004560E3" w:rsidP="009E4434">
            <w:pPr>
              <w:spacing w:after="0" w:line="240" w:lineRule="auto"/>
              <w:ind w:right="-1"/>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Credits to enterprises and organizations with a maturity date of over 3 years</w:t>
            </w:r>
          </w:p>
        </w:tc>
        <w:tc>
          <w:tcPr>
            <w:tcW w:w="984" w:type="dxa"/>
            <w:tcBorders>
              <w:top w:val="nil"/>
              <w:left w:val="nil"/>
              <w:bottom w:val="single" w:sz="4" w:space="0" w:color="auto"/>
              <w:right w:val="single" w:sz="4" w:space="0" w:color="auto"/>
            </w:tcBorders>
            <w:shd w:val="clear" w:color="auto" w:fill="auto"/>
            <w:noWrap/>
            <w:vAlign w:val="bottom"/>
            <w:hideMark/>
          </w:tcPr>
          <w:p w14:paraId="5152AA2E"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-2.08</w:t>
            </w:r>
          </w:p>
        </w:tc>
        <w:tc>
          <w:tcPr>
            <w:tcW w:w="914" w:type="dxa"/>
            <w:tcBorders>
              <w:top w:val="nil"/>
              <w:left w:val="nil"/>
              <w:bottom w:val="single" w:sz="4" w:space="0" w:color="auto"/>
              <w:right w:val="single" w:sz="4" w:space="0" w:color="auto"/>
            </w:tcBorders>
            <w:shd w:val="clear" w:color="auto" w:fill="auto"/>
            <w:noWrap/>
            <w:vAlign w:val="bottom"/>
            <w:hideMark/>
          </w:tcPr>
          <w:p w14:paraId="6B577DED"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1.05</w:t>
            </w:r>
          </w:p>
        </w:tc>
        <w:tc>
          <w:tcPr>
            <w:tcW w:w="929" w:type="dxa"/>
            <w:tcBorders>
              <w:top w:val="nil"/>
              <w:left w:val="nil"/>
              <w:bottom w:val="single" w:sz="4" w:space="0" w:color="auto"/>
              <w:right w:val="single" w:sz="4" w:space="0" w:color="auto"/>
            </w:tcBorders>
            <w:shd w:val="clear" w:color="auto" w:fill="auto"/>
            <w:noWrap/>
            <w:vAlign w:val="bottom"/>
            <w:hideMark/>
          </w:tcPr>
          <w:p w14:paraId="1686D76C"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-1.97</w:t>
            </w:r>
          </w:p>
        </w:tc>
        <w:tc>
          <w:tcPr>
            <w:tcW w:w="1134" w:type="dxa"/>
            <w:tcBorders>
              <w:top w:val="nil"/>
              <w:left w:val="nil"/>
              <w:bottom w:val="single" w:sz="4" w:space="0" w:color="auto"/>
              <w:right w:val="single" w:sz="4" w:space="0" w:color="auto"/>
            </w:tcBorders>
            <w:shd w:val="clear" w:color="auto" w:fill="auto"/>
            <w:noWrap/>
            <w:vAlign w:val="bottom"/>
            <w:hideMark/>
          </w:tcPr>
          <w:p w14:paraId="4E031A7B"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0.049</w:t>
            </w:r>
          </w:p>
        </w:tc>
        <w:tc>
          <w:tcPr>
            <w:tcW w:w="802" w:type="dxa"/>
            <w:tcBorders>
              <w:top w:val="nil"/>
              <w:left w:val="nil"/>
              <w:bottom w:val="single" w:sz="4" w:space="0" w:color="auto"/>
              <w:right w:val="single" w:sz="4" w:space="0" w:color="auto"/>
            </w:tcBorders>
            <w:shd w:val="clear" w:color="auto" w:fill="auto"/>
            <w:noWrap/>
            <w:vAlign w:val="bottom"/>
            <w:hideMark/>
          </w:tcPr>
          <w:p w14:paraId="681BCF20"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-4.14</w:t>
            </w:r>
          </w:p>
        </w:tc>
        <w:tc>
          <w:tcPr>
            <w:tcW w:w="1324" w:type="dxa"/>
            <w:tcBorders>
              <w:top w:val="nil"/>
              <w:left w:val="nil"/>
              <w:bottom w:val="single" w:sz="4" w:space="0" w:color="auto"/>
              <w:right w:val="single" w:sz="4" w:space="0" w:color="auto"/>
            </w:tcBorders>
            <w:shd w:val="clear" w:color="auto" w:fill="auto"/>
            <w:noWrap/>
            <w:vAlign w:val="bottom"/>
            <w:hideMark/>
          </w:tcPr>
          <w:p w14:paraId="0DE5F4CA"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-0.01</w:t>
            </w:r>
          </w:p>
        </w:tc>
      </w:tr>
      <w:tr w:rsidR="004560E3" w:rsidRPr="009E4434" w14:paraId="07C89A7D" w14:textId="77777777" w:rsidTr="009E4434">
        <w:trPr>
          <w:trHeight w:val="20"/>
        </w:trPr>
        <w:tc>
          <w:tcPr>
            <w:tcW w:w="3660" w:type="dxa"/>
            <w:tcBorders>
              <w:top w:val="nil"/>
              <w:left w:val="single" w:sz="4" w:space="0" w:color="auto"/>
              <w:bottom w:val="single" w:sz="4" w:space="0" w:color="auto"/>
              <w:right w:val="single" w:sz="4" w:space="0" w:color="auto"/>
            </w:tcBorders>
            <w:shd w:val="clear" w:color="auto" w:fill="auto"/>
            <w:vAlign w:val="bottom"/>
            <w:hideMark/>
          </w:tcPr>
          <w:p w14:paraId="17DCB7FB" w14:textId="77777777" w:rsidR="004560E3" w:rsidRPr="009E4434" w:rsidRDefault="004560E3" w:rsidP="009E4434">
            <w:pPr>
              <w:spacing w:after="0" w:line="240" w:lineRule="auto"/>
              <w:ind w:right="-1"/>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Credits to enterprises and organizations with a maturity date from 90 to 180 days</w:t>
            </w:r>
          </w:p>
        </w:tc>
        <w:tc>
          <w:tcPr>
            <w:tcW w:w="984" w:type="dxa"/>
            <w:tcBorders>
              <w:top w:val="nil"/>
              <w:left w:val="nil"/>
              <w:bottom w:val="single" w:sz="4" w:space="0" w:color="auto"/>
              <w:right w:val="single" w:sz="4" w:space="0" w:color="auto"/>
            </w:tcBorders>
            <w:shd w:val="clear" w:color="auto" w:fill="auto"/>
            <w:noWrap/>
            <w:vAlign w:val="bottom"/>
            <w:hideMark/>
          </w:tcPr>
          <w:p w14:paraId="098ADA93"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1.26</w:t>
            </w:r>
          </w:p>
        </w:tc>
        <w:tc>
          <w:tcPr>
            <w:tcW w:w="914" w:type="dxa"/>
            <w:tcBorders>
              <w:top w:val="nil"/>
              <w:left w:val="nil"/>
              <w:bottom w:val="single" w:sz="4" w:space="0" w:color="auto"/>
              <w:right w:val="single" w:sz="4" w:space="0" w:color="auto"/>
            </w:tcBorders>
            <w:shd w:val="clear" w:color="auto" w:fill="auto"/>
            <w:noWrap/>
            <w:vAlign w:val="bottom"/>
            <w:hideMark/>
          </w:tcPr>
          <w:p w14:paraId="2EEFEA55"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0.48</w:t>
            </w:r>
          </w:p>
        </w:tc>
        <w:tc>
          <w:tcPr>
            <w:tcW w:w="929" w:type="dxa"/>
            <w:tcBorders>
              <w:top w:val="nil"/>
              <w:left w:val="nil"/>
              <w:bottom w:val="single" w:sz="4" w:space="0" w:color="auto"/>
              <w:right w:val="single" w:sz="4" w:space="0" w:color="auto"/>
            </w:tcBorders>
            <w:shd w:val="clear" w:color="auto" w:fill="auto"/>
            <w:noWrap/>
            <w:vAlign w:val="bottom"/>
            <w:hideMark/>
          </w:tcPr>
          <w:p w14:paraId="44FD89CF"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2.60</w:t>
            </w:r>
          </w:p>
        </w:tc>
        <w:tc>
          <w:tcPr>
            <w:tcW w:w="1134" w:type="dxa"/>
            <w:tcBorders>
              <w:top w:val="nil"/>
              <w:left w:val="nil"/>
              <w:bottom w:val="single" w:sz="4" w:space="0" w:color="auto"/>
              <w:right w:val="single" w:sz="4" w:space="0" w:color="auto"/>
            </w:tcBorders>
            <w:shd w:val="clear" w:color="auto" w:fill="auto"/>
            <w:noWrap/>
            <w:vAlign w:val="bottom"/>
            <w:hideMark/>
          </w:tcPr>
          <w:p w14:paraId="4D9C9640"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0.009</w:t>
            </w:r>
          </w:p>
        </w:tc>
        <w:tc>
          <w:tcPr>
            <w:tcW w:w="802" w:type="dxa"/>
            <w:tcBorders>
              <w:top w:val="nil"/>
              <w:left w:val="nil"/>
              <w:bottom w:val="single" w:sz="4" w:space="0" w:color="auto"/>
              <w:right w:val="single" w:sz="4" w:space="0" w:color="auto"/>
            </w:tcBorders>
            <w:shd w:val="clear" w:color="auto" w:fill="auto"/>
            <w:noWrap/>
            <w:vAlign w:val="bottom"/>
            <w:hideMark/>
          </w:tcPr>
          <w:p w14:paraId="0B3CFD1B"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0.31</w:t>
            </w:r>
          </w:p>
        </w:tc>
        <w:tc>
          <w:tcPr>
            <w:tcW w:w="1324" w:type="dxa"/>
            <w:tcBorders>
              <w:top w:val="nil"/>
              <w:left w:val="nil"/>
              <w:bottom w:val="single" w:sz="4" w:space="0" w:color="auto"/>
              <w:right w:val="single" w:sz="4" w:space="0" w:color="auto"/>
            </w:tcBorders>
            <w:shd w:val="clear" w:color="auto" w:fill="auto"/>
            <w:noWrap/>
            <w:vAlign w:val="bottom"/>
            <w:hideMark/>
          </w:tcPr>
          <w:p w14:paraId="3DC69ED8"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2.20</w:t>
            </w:r>
          </w:p>
        </w:tc>
      </w:tr>
      <w:tr w:rsidR="004560E3" w:rsidRPr="009E4434" w14:paraId="58BE346B" w14:textId="77777777" w:rsidTr="009E4434">
        <w:trPr>
          <w:trHeight w:val="20"/>
        </w:trPr>
        <w:tc>
          <w:tcPr>
            <w:tcW w:w="3660" w:type="dxa"/>
            <w:tcBorders>
              <w:top w:val="nil"/>
              <w:left w:val="single" w:sz="4" w:space="0" w:color="auto"/>
              <w:bottom w:val="single" w:sz="4" w:space="0" w:color="auto"/>
              <w:right w:val="single" w:sz="4" w:space="0" w:color="auto"/>
            </w:tcBorders>
            <w:shd w:val="clear" w:color="auto" w:fill="auto"/>
            <w:vAlign w:val="bottom"/>
            <w:hideMark/>
          </w:tcPr>
          <w:p w14:paraId="35DB74F8" w14:textId="77777777" w:rsidR="004560E3" w:rsidRPr="009E4434" w:rsidRDefault="004560E3" w:rsidP="009E4434">
            <w:pPr>
              <w:spacing w:after="0" w:line="240" w:lineRule="auto"/>
              <w:ind w:right="-1"/>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Bonds issued</w:t>
            </w:r>
          </w:p>
        </w:tc>
        <w:tc>
          <w:tcPr>
            <w:tcW w:w="984" w:type="dxa"/>
            <w:tcBorders>
              <w:top w:val="nil"/>
              <w:left w:val="nil"/>
              <w:bottom w:val="single" w:sz="4" w:space="0" w:color="auto"/>
              <w:right w:val="single" w:sz="4" w:space="0" w:color="auto"/>
            </w:tcBorders>
            <w:shd w:val="clear" w:color="auto" w:fill="auto"/>
            <w:noWrap/>
            <w:vAlign w:val="bottom"/>
            <w:hideMark/>
          </w:tcPr>
          <w:p w14:paraId="3F23137A"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-2.40</w:t>
            </w:r>
          </w:p>
        </w:tc>
        <w:tc>
          <w:tcPr>
            <w:tcW w:w="914" w:type="dxa"/>
            <w:tcBorders>
              <w:top w:val="nil"/>
              <w:left w:val="nil"/>
              <w:bottom w:val="single" w:sz="4" w:space="0" w:color="auto"/>
              <w:right w:val="single" w:sz="4" w:space="0" w:color="auto"/>
            </w:tcBorders>
            <w:shd w:val="clear" w:color="auto" w:fill="auto"/>
            <w:noWrap/>
            <w:vAlign w:val="bottom"/>
            <w:hideMark/>
          </w:tcPr>
          <w:p w14:paraId="3FAF10CD"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1.19</w:t>
            </w:r>
          </w:p>
        </w:tc>
        <w:tc>
          <w:tcPr>
            <w:tcW w:w="929" w:type="dxa"/>
            <w:tcBorders>
              <w:top w:val="nil"/>
              <w:left w:val="nil"/>
              <w:bottom w:val="single" w:sz="4" w:space="0" w:color="auto"/>
              <w:right w:val="single" w:sz="4" w:space="0" w:color="auto"/>
            </w:tcBorders>
            <w:shd w:val="clear" w:color="auto" w:fill="auto"/>
            <w:noWrap/>
            <w:vAlign w:val="bottom"/>
            <w:hideMark/>
          </w:tcPr>
          <w:p w14:paraId="3A246E60"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-2.01</w:t>
            </w:r>
          </w:p>
        </w:tc>
        <w:tc>
          <w:tcPr>
            <w:tcW w:w="1134" w:type="dxa"/>
            <w:tcBorders>
              <w:top w:val="nil"/>
              <w:left w:val="nil"/>
              <w:bottom w:val="single" w:sz="4" w:space="0" w:color="auto"/>
              <w:right w:val="single" w:sz="4" w:space="0" w:color="auto"/>
            </w:tcBorders>
            <w:shd w:val="clear" w:color="auto" w:fill="auto"/>
            <w:noWrap/>
            <w:vAlign w:val="bottom"/>
            <w:hideMark/>
          </w:tcPr>
          <w:p w14:paraId="22AB33EA"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0.044</w:t>
            </w:r>
          </w:p>
        </w:tc>
        <w:tc>
          <w:tcPr>
            <w:tcW w:w="802" w:type="dxa"/>
            <w:tcBorders>
              <w:top w:val="nil"/>
              <w:left w:val="nil"/>
              <w:bottom w:val="single" w:sz="4" w:space="0" w:color="auto"/>
              <w:right w:val="single" w:sz="4" w:space="0" w:color="auto"/>
            </w:tcBorders>
            <w:shd w:val="clear" w:color="auto" w:fill="auto"/>
            <w:noWrap/>
            <w:vAlign w:val="bottom"/>
            <w:hideMark/>
          </w:tcPr>
          <w:p w14:paraId="1CF36616"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-4.74</w:t>
            </w:r>
          </w:p>
        </w:tc>
        <w:tc>
          <w:tcPr>
            <w:tcW w:w="1324" w:type="dxa"/>
            <w:tcBorders>
              <w:top w:val="nil"/>
              <w:left w:val="nil"/>
              <w:bottom w:val="single" w:sz="4" w:space="0" w:color="auto"/>
              <w:right w:val="single" w:sz="4" w:space="0" w:color="auto"/>
            </w:tcBorders>
            <w:shd w:val="clear" w:color="auto" w:fill="auto"/>
            <w:noWrap/>
            <w:vAlign w:val="bottom"/>
            <w:hideMark/>
          </w:tcPr>
          <w:p w14:paraId="40A017CF"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-0.06</w:t>
            </w:r>
          </w:p>
        </w:tc>
      </w:tr>
      <w:tr w:rsidR="004560E3" w:rsidRPr="009E4434" w14:paraId="7EEE21B0" w14:textId="77777777" w:rsidTr="009E4434">
        <w:trPr>
          <w:trHeight w:val="20"/>
        </w:trPr>
        <w:tc>
          <w:tcPr>
            <w:tcW w:w="3660" w:type="dxa"/>
            <w:tcBorders>
              <w:top w:val="nil"/>
              <w:left w:val="single" w:sz="4" w:space="0" w:color="auto"/>
              <w:bottom w:val="single" w:sz="4" w:space="0" w:color="auto"/>
              <w:right w:val="single" w:sz="4" w:space="0" w:color="auto"/>
            </w:tcBorders>
            <w:shd w:val="clear" w:color="auto" w:fill="auto"/>
            <w:vAlign w:val="bottom"/>
            <w:hideMark/>
          </w:tcPr>
          <w:p w14:paraId="13EDCD02" w14:textId="77777777" w:rsidR="004560E3" w:rsidRPr="009E4434" w:rsidRDefault="004560E3" w:rsidP="009E4434">
            <w:pPr>
              <w:spacing w:after="0" w:line="240" w:lineRule="auto"/>
              <w:ind w:right="-1"/>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constant</w:t>
            </w:r>
          </w:p>
        </w:tc>
        <w:tc>
          <w:tcPr>
            <w:tcW w:w="984" w:type="dxa"/>
            <w:tcBorders>
              <w:top w:val="nil"/>
              <w:left w:val="nil"/>
              <w:bottom w:val="single" w:sz="4" w:space="0" w:color="auto"/>
              <w:right w:val="single" w:sz="4" w:space="0" w:color="auto"/>
            </w:tcBorders>
            <w:shd w:val="clear" w:color="auto" w:fill="auto"/>
            <w:noWrap/>
            <w:vAlign w:val="bottom"/>
            <w:hideMark/>
          </w:tcPr>
          <w:p w14:paraId="24DE7AED"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-5.56</w:t>
            </w:r>
          </w:p>
        </w:tc>
        <w:tc>
          <w:tcPr>
            <w:tcW w:w="914" w:type="dxa"/>
            <w:tcBorders>
              <w:top w:val="nil"/>
              <w:left w:val="nil"/>
              <w:bottom w:val="single" w:sz="4" w:space="0" w:color="auto"/>
              <w:right w:val="single" w:sz="4" w:space="0" w:color="auto"/>
            </w:tcBorders>
            <w:shd w:val="clear" w:color="auto" w:fill="auto"/>
            <w:noWrap/>
            <w:vAlign w:val="bottom"/>
            <w:hideMark/>
          </w:tcPr>
          <w:p w14:paraId="061EAE98"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0.66</w:t>
            </w:r>
          </w:p>
        </w:tc>
        <w:tc>
          <w:tcPr>
            <w:tcW w:w="929" w:type="dxa"/>
            <w:tcBorders>
              <w:top w:val="nil"/>
              <w:left w:val="nil"/>
              <w:bottom w:val="single" w:sz="4" w:space="0" w:color="auto"/>
              <w:right w:val="single" w:sz="4" w:space="0" w:color="auto"/>
            </w:tcBorders>
            <w:shd w:val="clear" w:color="auto" w:fill="auto"/>
            <w:noWrap/>
            <w:vAlign w:val="bottom"/>
            <w:hideMark/>
          </w:tcPr>
          <w:p w14:paraId="621C9E2F"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-8.43</w:t>
            </w:r>
          </w:p>
        </w:tc>
        <w:tc>
          <w:tcPr>
            <w:tcW w:w="1134" w:type="dxa"/>
            <w:tcBorders>
              <w:top w:val="nil"/>
              <w:left w:val="nil"/>
              <w:bottom w:val="single" w:sz="4" w:space="0" w:color="auto"/>
              <w:right w:val="single" w:sz="4" w:space="0" w:color="auto"/>
            </w:tcBorders>
            <w:shd w:val="clear" w:color="auto" w:fill="auto"/>
            <w:noWrap/>
            <w:vAlign w:val="bottom"/>
            <w:hideMark/>
          </w:tcPr>
          <w:p w14:paraId="7EED6E47"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0.000</w:t>
            </w:r>
          </w:p>
        </w:tc>
        <w:tc>
          <w:tcPr>
            <w:tcW w:w="802" w:type="dxa"/>
            <w:tcBorders>
              <w:top w:val="nil"/>
              <w:left w:val="nil"/>
              <w:bottom w:val="single" w:sz="4" w:space="0" w:color="auto"/>
              <w:right w:val="single" w:sz="4" w:space="0" w:color="auto"/>
            </w:tcBorders>
            <w:shd w:val="clear" w:color="auto" w:fill="auto"/>
            <w:noWrap/>
            <w:vAlign w:val="bottom"/>
            <w:hideMark/>
          </w:tcPr>
          <w:p w14:paraId="75AC87A3"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-6.86</w:t>
            </w:r>
          </w:p>
        </w:tc>
        <w:tc>
          <w:tcPr>
            <w:tcW w:w="1324" w:type="dxa"/>
            <w:tcBorders>
              <w:top w:val="nil"/>
              <w:left w:val="nil"/>
              <w:bottom w:val="single" w:sz="4" w:space="0" w:color="auto"/>
              <w:right w:val="single" w:sz="4" w:space="0" w:color="auto"/>
            </w:tcBorders>
            <w:shd w:val="clear" w:color="auto" w:fill="auto"/>
            <w:noWrap/>
            <w:vAlign w:val="bottom"/>
            <w:hideMark/>
          </w:tcPr>
          <w:p w14:paraId="76DC5D24" w14:textId="77777777" w:rsidR="004560E3" w:rsidRPr="009E4434" w:rsidRDefault="004560E3" w:rsidP="009E4434">
            <w:pPr>
              <w:spacing w:after="0" w:line="240" w:lineRule="auto"/>
              <w:ind w:right="-1"/>
              <w:jc w:val="center"/>
              <w:rPr>
                <w:rFonts w:ascii="Times New Roman" w:eastAsia="Times New Roman" w:hAnsi="Times New Roman" w:cs="Times New Roman"/>
                <w:color w:val="000000"/>
                <w:sz w:val="20"/>
                <w:szCs w:val="20"/>
              </w:rPr>
            </w:pPr>
            <w:r w:rsidRPr="009E4434">
              <w:rPr>
                <w:rFonts w:ascii="Times New Roman" w:hAnsi="Times New Roman" w:cs="Times New Roman"/>
                <w:color w:val="000000"/>
                <w:sz w:val="20"/>
                <w:szCs w:val="20"/>
              </w:rPr>
              <w:t>-4.27</w:t>
            </w:r>
          </w:p>
        </w:tc>
      </w:tr>
    </w:tbl>
    <w:p w14:paraId="108F67A2" w14:textId="77777777" w:rsidR="00E709B7" w:rsidRPr="009E4434" w:rsidRDefault="00E709B7" w:rsidP="004B0B40">
      <w:pPr>
        <w:spacing w:after="0" w:line="360" w:lineRule="auto"/>
        <w:ind w:left="-284" w:right="-285"/>
        <w:jc w:val="center"/>
        <w:rPr>
          <w:rFonts w:ascii="Times New Roman" w:eastAsia="Calibri" w:hAnsi="Times New Roman" w:cs="Times New Roman"/>
          <w:sz w:val="20"/>
          <w:szCs w:val="20"/>
        </w:rPr>
      </w:pPr>
      <w:r w:rsidRPr="009E4434">
        <w:rPr>
          <w:rFonts w:ascii="Times New Roman" w:hAnsi="Times New Roman" w:cs="Times New Roman"/>
          <w:sz w:val="20"/>
          <w:szCs w:val="20"/>
        </w:rPr>
        <w:t>Fig. 5 — Logit regression over the lowest hierarchy, including macroeconomic indicators</w:t>
      </w:r>
    </w:p>
    <w:p w14:paraId="68876DB8" w14:textId="77777777" w:rsidR="00E709B7" w:rsidRPr="00C57DFA" w:rsidRDefault="00E709B7" w:rsidP="004B0B40">
      <w:pPr>
        <w:spacing w:after="0" w:line="360" w:lineRule="auto"/>
        <w:ind w:right="-1"/>
        <w:jc w:val="both"/>
        <w:rPr>
          <w:rFonts w:ascii="Times New Roman" w:eastAsia="Calibri" w:hAnsi="Times New Roman" w:cs="Times New Roman"/>
          <w:sz w:val="28"/>
          <w:szCs w:val="28"/>
        </w:rPr>
      </w:pPr>
      <w:r w:rsidRPr="00C57DFA">
        <w:rPr>
          <w:rFonts w:ascii="Times New Roman" w:hAnsi="Times New Roman" w:cs="Times New Roman"/>
          <w:sz w:val="28"/>
          <w:szCs w:val="28"/>
        </w:rPr>
        <w:t>Thus, in addition to the above-listed coefficients, the refinancing rate also turned to be meaningful as it may indicate nationwide volatility.</w:t>
      </w:r>
    </w:p>
    <w:p w14:paraId="2E890AB4" w14:textId="77777777" w:rsidR="00222D61" w:rsidRPr="00C57DFA" w:rsidRDefault="00222D61" w:rsidP="004B0B40">
      <w:pPr>
        <w:pStyle w:val="1"/>
        <w:spacing w:before="0" w:line="360" w:lineRule="auto"/>
        <w:ind w:right="-1"/>
        <w:rPr>
          <w:rFonts w:ascii="Times New Roman" w:hAnsi="Times New Roman" w:cs="Times New Roman"/>
          <w:b/>
          <w:color w:val="auto"/>
          <w:sz w:val="28"/>
          <w:szCs w:val="28"/>
        </w:rPr>
      </w:pPr>
      <w:bookmarkStart w:id="2" w:name="_Toc441712259"/>
      <w:bookmarkStart w:id="3" w:name="_Toc454496780"/>
      <w:r w:rsidRPr="00C57DFA">
        <w:rPr>
          <w:rFonts w:ascii="Times New Roman" w:hAnsi="Times New Roman" w:cs="Times New Roman"/>
          <w:b/>
          <w:color w:val="auto"/>
          <w:sz w:val="28"/>
          <w:szCs w:val="28"/>
        </w:rPr>
        <w:t xml:space="preserve">Modeling based on </w:t>
      </w:r>
      <w:bookmarkEnd w:id="2"/>
      <w:r w:rsidRPr="00C57DFA">
        <w:rPr>
          <w:rFonts w:ascii="Times New Roman" w:hAnsi="Times New Roman" w:cs="Times New Roman"/>
          <w:b/>
          <w:color w:val="auto"/>
          <w:sz w:val="28"/>
          <w:szCs w:val="28"/>
        </w:rPr>
        <w:t>stratified samples</w:t>
      </w:r>
      <w:bookmarkEnd w:id="3"/>
    </w:p>
    <w:p w14:paraId="5A6C7394" w14:textId="77777777" w:rsidR="00FB6DA0" w:rsidRPr="00C57DFA" w:rsidRDefault="00FB6DA0" w:rsidP="004B0B40">
      <w:pPr>
        <w:spacing w:after="0" w:line="360" w:lineRule="auto"/>
        <w:ind w:right="-1"/>
        <w:jc w:val="both"/>
        <w:rPr>
          <w:rFonts w:ascii="Times New Roman" w:hAnsi="Times New Roman" w:cs="Times New Roman"/>
          <w:sz w:val="28"/>
          <w:szCs w:val="28"/>
        </w:rPr>
      </w:pPr>
      <w:r w:rsidRPr="00C57DFA">
        <w:rPr>
          <w:rFonts w:ascii="Times New Roman" w:hAnsi="Times New Roman" w:cs="Times New Roman"/>
          <w:sz w:val="28"/>
          <w:szCs w:val="28"/>
        </w:rPr>
        <w:t>Since the sampling contains much more still licensed banks than those with licenses being withdrawn, it makes sense to elaborate subsamples of source data containing greater number of closed credit institutions, in order to improve the model quality.</w:t>
      </w:r>
    </w:p>
    <w:p w14:paraId="0D9AECF4" w14:textId="77777777" w:rsidR="00FB6DA0" w:rsidRPr="00C57DFA" w:rsidRDefault="00633B19" w:rsidP="004B0B40">
      <w:pPr>
        <w:spacing w:after="0" w:line="360" w:lineRule="auto"/>
        <w:ind w:right="-1"/>
        <w:jc w:val="both"/>
        <w:rPr>
          <w:rFonts w:ascii="Times New Roman" w:hAnsi="Times New Roman" w:cs="Times New Roman"/>
          <w:sz w:val="28"/>
          <w:szCs w:val="28"/>
        </w:rPr>
      </w:pPr>
      <w:r w:rsidRPr="00C57DFA">
        <w:rPr>
          <w:rFonts w:ascii="Times New Roman" w:hAnsi="Times New Roman" w:cs="Times New Roman"/>
          <w:sz w:val="28"/>
          <w:szCs w:val="28"/>
        </w:rPr>
        <w:t xml:space="preserve">Thus, with </w:t>
      </w:r>
      <w:proofErr w:type="spellStart"/>
      <w:r w:rsidRPr="00C57DFA">
        <w:rPr>
          <w:rFonts w:ascii="Times New Roman" w:hAnsi="Times New Roman" w:cs="Times New Roman"/>
          <w:sz w:val="28"/>
          <w:szCs w:val="28"/>
        </w:rPr>
        <w:t>Statsoft</w:t>
      </w:r>
      <w:proofErr w:type="spellEnd"/>
      <w:r w:rsidRPr="00C57DFA">
        <w:rPr>
          <w:rFonts w:ascii="Times New Roman" w:hAnsi="Times New Roman" w:cs="Times New Roman"/>
          <w:sz w:val="28"/>
          <w:szCs w:val="28"/>
        </w:rPr>
        <w:t xml:space="preserve"> </w:t>
      </w:r>
      <w:proofErr w:type="spellStart"/>
      <w:r w:rsidRPr="00C57DFA">
        <w:rPr>
          <w:rFonts w:ascii="Times New Roman" w:hAnsi="Times New Roman" w:cs="Times New Roman"/>
          <w:sz w:val="28"/>
          <w:szCs w:val="28"/>
        </w:rPr>
        <w:t>Statistica</w:t>
      </w:r>
      <w:proofErr w:type="spellEnd"/>
      <w:r w:rsidRPr="00C57DFA">
        <w:rPr>
          <w:rFonts w:ascii="Times New Roman" w:hAnsi="Times New Roman" w:cs="Times New Roman"/>
          <w:sz w:val="28"/>
          <w:szCs w:val="28"/>
        </w:rPr>
        <w:t xml:space="preserve"> software, we generated 12 subsamples, each containing 100 records, where credit institutions having their licenses withdrawn appear with a priori probability (</w:t>
      </w:r>
      <w:r w:rsidRPr="00C57DFA">
        <w:rPr>
          <w:rFonts w:ascii="Times New Roman" w:hAnsi="Times New Roman" w:cs="Times New Roman"/>
          <w:i/>
          <w:sz w:val="28"/>
          <w:szCs w:val="28"/>
        </w:rPr>
        <w:t>p</w:t>
      </w:r>
      <w:r w:rsidRPr="00C57DFA">
        <w:rPr>
          <w:rFonts w:ascii="Times New Roman" w:hAnsi="Times New Roman" w:cs="Times New Roman"/>
          <w:sz w:val="28"/>
          <w:szCs w:val="28"/>
        </w:rPr>
        <w:t>) from 0.9 to 0.1, while still operating credit institutions, from 0.1 to 0.9 respectively. The same models were built based on each of subsamples.</w:t>
      </w:r>
    </w:p>
    <w:p w14:paraId="0B810D9B" w14:textId="77777777" w:rsidR="00FB6DA0" w:rsidRPr="00C57DFA" w:rsidRDefault="00D66FDB" w:rsidP="004B0B40">
      <w:pPr>
        <w:spacing w:after="0" w:line="360" w:lineRule="auto"/>
        <w:ind w:right="-1"/>
        <w:jc w:val="both"/>
        <w:rPr>
          <w:rFonts w:ascii="Times New Roman" w:hAnsi="Times New Roman" w:cs="Times New Roman"/>
          <w:sz w:val="28"/>
          <w:szCs w:val="28"/>
        </w:rPr>
      </w:pPr>
      <w:r w:rsidRPr="00C57DFA">
        <w:rPr>
          <w:rFonts w:ascii="Times New Roman" w:hAnsi="Times New Roman" w:cs="Times New Roman"/>
          <w:sz w:val="28"/>
          <w:szCs w:val="28"/>
        </w:rPr>
        <w:t xml:space="preserve">In particular, the random-effects logit model over the highest hierarchy, with macroeconomic environment involved, did not return meaningful coefficients against the sampling with license withdrawal probability of 0.8. The respective </w:t>
      </w:r>
      <w:proofErr w:type="spellStart"/>
      <w:r w:rsidRPr="00C57DFA">
        <w:rPr>
          <w:rFonts w:ascii="Times New Roman" w:hAnsi="Times New Roman" w:cs="Times New Roman"/>
          <w:sz w:val="28"/>
          <w:szCs w:val="28"/>
        </w:rPr>
        <w:t>probit</w:t>
      </w:r>
      <w:proofErr w:type="spellEnd"/>
      <w:r w:rsidRPr="00C57DFA">
        <w:rPr>
          <w:rFonts w:ascii="Times New Roman" w:hAnsi="Times New Roman" w:cs="Times New Roman"/>
          <w:sz w:val="28"/>
          <w:szCs w:val="28"/>
        </w:rPr>
        <w:t xml:space="preserve"> regression returned almost similar results. The random-effects logit model over the lowest hierarchy, with macroeconomic environment involved, against the sampling with license withdrawal probability of 0.8 is displayed in Fig. 6.</w:t>
      </w:r>
    </w:p>
    <w:tbl>
      <w:tblPr>
        <w:tblW w:w="9747" w:type="dxa"/>
        <w:tblLayout w:type="fixed"/>
        <w:tblLook w:val="04A0" w:firstRow="1" w:lastRow="0" w:firstColumn="1" w:lastColumn="0" w:noHBand="0" w:noVBand="1"/>
      </w:tblPr>
      <w:tblGrid>
        <w:gridCol w:w="4077"/>
        <w:gridCol w:w="843"/>
        <w:gridCol w:w="864"/>
        <w:gridCol w:w="987"/>
        <w:gridCol w:w="992"/>
        <w:gridCol w:w="992"/>
        <w:gridCol w:w="992"/>
      </w:tblGrid>
      <w:tr w:rsidR="009E2F44" w:rsidRPr="009E4434" w14:paraId="48708DD4" w14:textId="77777777" w:rsidTr="00EE2E0C">
        <w:trPr>
          <w:trHeight w:val="457"/>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3B94A" w14:textId="77777777" w:rsidR="009E2F44" w:rsidRPr="009E4434" w:rsidRDefault="00E22A8F" w:rsidP="009E4434">
            <w:pPr>
              <w:spacing w:after="0" w:line="240" w:lineRule="auto"/>
              <w:ind w:right="-1"/>
              <w:jc w:val="center"/>
              <w:rPr>
                <w:rFonts w:ascii="Times New Roman" w:eastAsia="Times New Roman" w:hAnsi="Times New Roman" w:cs="Times New Roman"/>
                <w:b/>
                <w:bCs/>
                <w:sz w:val="20"/>
                <w:szCs w:val="20"/>
              </w:rPr>
            </w:pPr>
            <w:r w:rsidRPr="009E4434">
              <w:rPr>
                <w:rFonts w:ascii="Times New Roman" w:hAnsi="Times New Roman" w:cs="Times New Roman"/>
                <w:b/>
                <w:sz w:val="20"/>
                <w:szCs w:val="20"/>
              </w:rPr>
              <w:t>Random-effects logit regression</w:t>
            </w:r>
          </w:p>
        </w:tc>
        <w:tc>
          <w:tcPr>
            <w:tcW w:w="1707" w:type="dxa"/>
            <w:gridSpan w:val="2"/>
            <w:tcBorders>
              <w:top w:val="single" w:sz="4" w:space="0" w:color="auto"/>
              <w:left w:val="nil"/>
              <w:bottom w:val="single" w:sz="4" w:space="0" w:color="auto"/>
              <w:right w:val="single" w:sz="4" w:space="0" w:color="auto"/>
            </w:tcBorders>
            <w:shd w:val="clear" w:color="auto" w:fill="auto"/>
            <w:vAlign w:val="bottom"/>
            <w:hideMark/>
          </w:tcPr>
          <w:p w14:paraId="51183EBF" w14:textId="77777777" w:rsidR="009E2F44" w:rsidRPr="009E4434" w:rsidRDefault="002B5AA8"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 xml:space="preserve">Number of </w:t>
            </w:r>
            <w:proofErr w:type="spellStart"/>
            <w:r w:rsidRPr="009E4434">
              <w:rPr>
                <w:rFonts w:ascii="Times New Roman" w:hAnsi="Times New Roman" w:cs="Times New Roman"/>
                <w:sz w:val="20"/>
                <w:szCs w:val="20"/>
              </w:rPr>
              <w:t>obs</w:t>
            </w:r>
            <w:proofErr w:type="spellEnd"/>
            <w:r w:rsidRPr="009E4434">
              <w:rPr>
                <w:rFonts w:ascii="Times New Roman" w:hAnsi="Times New Roman" w:cs="Times New Roman"/>
                <w:sz w:val="20"/>
                <w:szCs w:val="20"/>
              </w:rPr>
              <w:t xml:space="preserve"> = 522</w:t>
            </w:r>
          </w:p>
        </w:tc>
        <w:tc>
          <w:tcPr>
            <w:tcW w:w="197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A2C10C3" w14:textId="77777777" w:rsidR="009E2F44" w:rsidRPr="009E4434" w:rsidRDefault="009E2F44" w:rsidP="009E4434">
            <w:pPr>
              <w:spacing w:after="0" w:line="240" w:lineRule="auto"/>
              <w:ind w:right="-1"/>
              <w:jc w:val="center"/>
              <w:rPr>
                <w:rFonts w:ascii="Times New Roman" w:eastAsia="Times New Roman" w:hAnsi="Times New Roman" w:cs="Times New Roman"/>
                <w:bCs/>
                <w:sz w:val="20"/>
                <w:szCs w:val="20"/>
              </w:rPr>
            </w:pPr>
            <w:proofErr w:type="spellStart"/>
            <w:r w:rsidRPr="009E4434">
              <w:rPr>
                <w:rFonts w:ascii="Times New Roman" w:hAnsi="Times New Roman" w:cs="Times New Roman"/>
                <w:sz w:val="20"/>
                <w:szCs w:val="20"/>
              </w:rPr>
              <w:t>obs</w:t>
            </w:r>
            <w:proofErr w:type="spellEnd"/>
            <w:r w:rsidRPr="009E4434">
              <w:rPr>
                <w:rFonts w:ascii="Times New Roman" w:hAnsi="Times New Roman" w:cs="Times New Roman"/>
                <w:sz w:val="20"/>
                <w:szCs w:val="20"/>
              </w:rPr>
              <w:t xml:space="preserve"> per group: min = 1, </w:t>
            </w:r>
            <w:proofErr w:type="spellStart"/>
            <w:r w:rsidRPr="009E4434">
              <w:rPr>
                <w:rFonts w:ascii="Times New Roman" w:hAnsi="Times New Roman" w:cs="Times New Roman"/>
                <w:sz w:val="20"/>
                <w:szCs w:val="20"/>
              </w:rPr>
              <w:t>avg</w:t>
            </w:r>
            <w:proofErr w:type="spellEnd"/>
            <w:r w:rsidRPr="009E4434">
              <w:rPr>
                <w:rFonts w:ascii="Times New Roman" w:hAnsi="Times New Roman" w:cs="Times New Roman"/>
                <w:sz w:val="20"/>
                <w:szCs w:val="20"/>
              </w:rPr>
              <w:t xml:space="preserve"> = 5.3, max = 6</w:t>
            </w: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78BC77A" w14:textId="77777777" w:rsidR="009E2F44" w:rsidRPr="009E4434" w:rsidRDefault="00B11B32"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Wald chi2(29) = 21.94</w:t>
            </w:r>
            <w:r w:rsidRPr="009E4434">
              <w:rPr>
                <w:rFonts w:ascii="Times New Roman" w:eastAsia="Times New Roman" w:hAnsi="Times New Roman" w:cs="Times New Roman"/>
                <w:bCs/>
                <w:sz w:val="20"/>
                <w:szCs w:val="20"/>
              </w:rPr>
              <w:br/>
            </w:r>
            <w:proofErr w:type="spellStart"/>
            <w:r w:rsidRPr="009E4434">
              <w:rPr>
                <w:rFonts w:ascii="Times New Roman" w:hAnsi="Times New Roman" w:cs="Times New Roman"/>
                <w:sz w:val="20"/>
                <w:szCs w:val="20"/>
              </w:rPr>
              <w:t>Prob</w:t>
            </w:r>
            <w:proofErr w:type="spellEnd"/>
            <w:r w:rsidRPr="009E4434">
              <w:rPr>
                <w:rFonts w:ascii="Times New Roman" w:hAnsi="Times New Roman" w:cs="Times New Roman"/>
                <w:sz w:val="20"/>
                <w:szCs w:val="20"/>
              </w:rPr>
              <w:t xml:space="preserve"> &gt; chi2 =0.9874</w:t>
            </w:r>
          </w:p>
        </w:tc>
      </w:tr>
      <w:tr w:rsidR="009E2F44" w:rsidRPr="009E4434" w14:paraId="6D43EA89" w14:textId="77777777" w:rsidTr="000441CC">
        <w:trPr>
          <w:trHeight w:val="20"/>
        </w:trPr>
        <w:tc>
          <w:tcPr>
            <w:tcW w:w="4077" w:type="dxa"/>
            <w:tcBorders>
              <w:top w:val="nil"/>
              <w:left w:val="single" w:sz="4" w:space="0" w:color="auto"/>
              <w:bottom w:val="single" w:sz="4" w:space="0" w:color="auto"/>
              <w:right w:val="single" w:sz="4" w:space="0" w:color="auto"/>
            </w:tcBorders>
            <w:shd w:val="clear" w:color="auto" w:fill="auto"/>
            <w:vAlign w:val="center"/>
            <w:hideMark/>
          </w:tcPr>
          <w:p w14:paraId="20FDD742" w14:textId="77777777" w:rsidR="009E2F44" w:rsidRPr="009E4434" w:rsidRDefault="009E2F44"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group variable: license number</w:t>
            </w:r>
          </w:p>
        </w:tc>
        <w:tc>
          <w:tcPr>
            <w:tcW w:w="1707" w:type="dxa"/>
            <w:gridSpan w:val="2"/>
            <w:tcBorders>
              <w:top w:val="single" w:sz="4" w:space="0" w:color="auto"/>
              <w:left w:val="nil"/>
              <w:bottom w:val="single" w:sz="4" w:space="0" w:color="auto"/>
              <w:right w:val="single" w:sz="4" w:space="0" w:color="auto"/>
            </w:tcBorders>
            <w:shd w:val="clear" w:color="auto" w:fill="auto"/>
            <w:vAlign w:val="bottom"/>
            <w:hideMark/>
          </w:tcPr>
          <w:p w14:paraId="4537BF44" w14:textId="77777777" w:rsidR="009E2F44" w:rsidRPr="009E4434" w:rsidRDefault="002B5AA8"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number of groups = 98</w:t>
            </w:r>
          </w:p>
        </w:tc>
        <w:tc>
          <w:tcPr>
            <w:tcW w:w="1979" w:type="dxa"/>
            <w:gridSpan w:val="2"/>
            <w:vMerge/>
            <w:tcBorders>
              <w:top w:val="single" w:sz="4" w:space="0" w:color="auto"/>
              <w:left w:val="single" w:sz="4" w:space="0" w:color="auto"/>
              <w:bottom w:val="single" w:sz="4" w:space="0" w:color="auto"/>
              <w:right w:val="single" w:sz="4" w:space="0" w:color="auto"/>
            </w:tcBorders>
            <w:vAlign w:val="center"/>
            <w:hideMark/>
          </w:tcPr>
          <w:p w14:paraId="06B167B4" w14:textId="77777777" w:rsidR="009E2F44" w:rsidRPr="009E4434" w:rsidRDefault="009E2F44" w:rsidP="009E4434">
            <w:pPr>
              <w:spacing w:after="0" w:line="240" w:lineRule="auto"/>
              <w:ind w:right="-1"/>
              <w:rPr>
                <w:rFonts w:ascii="Times New Roman" w:eastAsia="Times New Roman" w:hAnsi="Times New Roman" w:cs="Times New Roman"/>
                <w:bCs/>
                <w:sz w:val="20"/>
                <w:szCs w:val="20"/>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14:paraId="5EE40941" w14:textId="77777777" w:rsidR="009E2F44" w:rsidRPr="009E4434" w:rsidRDefault="009E2F44" w:rsidP="009E4434">
            <w:pPr>
              <w:spacing w:after="0" w:line="240" w:lineRule="auto"/>
              <w:ind w:right="-1"/>
              <w:rPr>
                <w:rFonts w:ascii="Times New Roman" w:eastAsia="Times New Roman" w:hAnsi="Times New Roman" w:cs="Times New Roman"/>
                <w:bCs/>
                <w:sz w:val="20"/>
                <w:szCs w:val="20"/>
              </w:rPr>
            </w:pPr>
          </w:p>
        </w:tc>
      </w:tr>
      <w:tr w:rsidR="009E2F44" w:rsidRPr="009E4434" w14:paraId="467132AF" w14:textId="77777777" w:rsidTr="000441CC">
        <w:trPr>
          <w:trHeight w:val="20"/>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14:paraId="6189877F" w14:textId="77777777" w:rsidR="009E2F44" w:rsidRPr="009E4434" w:rsidRDefault="009E2F44"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lastRenderedPageBreak/>
              <w:t> </w:t>
            </w:r>
          </w:p>
        </w:tc>
        <w:tc>
          <w:tcPr>
            <w:tcW w:w="843" w:type="dxa"/>
            <w:tcBorders>
              <w:top w:val="nil"/>
              <w:left w:val="nil"/>
              <w:bottom w:val="single" w:sz="4" w:space="0" w:color="auto"/>
              <w:right w:val="single" w:sz="4" w:space="0" w:color="auto"/>
            </w:tcBorders>
            <w:shd w:val="clear" w:color="auto" w:fill="auto"/>
            <w:noWrap/>
            <w:vAlign w:val="bottom"/>
            <w:hideMark/>
          </w:tcPr>
          <w:p w14:paraId="74200B8B" w14:textId="77777777" w:rsidR="009E2F44" w:rsidRPr="009E4434" w:rsidRDefault="009E2F44" w:rsidP="009E4434">
            <w:pPr>
              <w:spacing w:after="0" w:line="240" w:lineRule="auto"/>
              <w:ind w:right="-1"/>
              <w:jc w:val="center"/>
              <w:rPr>
                <w:rFonts w:ascii="Times New Roman" w:eastAsia="Times New Roman" w:hAnsi="Times New Roman" w:cs="Times New Roman"/>
                <w:bCs/>
                <w:sz w:val="20"/>
                <w:szCs w:val="20"/>
              </w:rPr>
            </w:pPr>
            <w:proofErr w:type="spellStart"/>
            <w:r w:rsidRPr="009E4434">
              <w:rPr>
                <w:rFonts w:ascii="Times New Roman" w:hAnsi="Times New Roman" w:cs="Times New Roman"/>
                <w:sz w:val="20"/>
                <w:szCs w:val="20"/>
              </w:rPr>
              <w:t>Coef</w:t>
            </w:r>
            <w:proofErr w:type="spellEnd"/>
            <w:r w:rsidRPr="009E4434">
              <w:rPr>
                <w:rFonts w:ascii="Times New Roman" w:hAnsi="Times New Roman" w:cs="Times New Roman"/>
                <w:sz w:val="20"/>
                <w:szCs w:val="20"/>
              </w:rPr>
              <w:t>.</w:t>
            </w:r>
          </w:p>
        </w:tc>
        <w:tc>
          <w:tcPr>
            <w:tcW w:w="864" w:type="dxa"/>
            <w:tcBorders>
              <w:top w:val="nil"/>
              <w:left w:val="nil"/>
              <w:bottom w:val="single" w:sz="4" w:space="0" w:color="auto"/>
              <w:right w:val="single" w:sz="4" w:space="0" w:color="auto"/>
            </w:tcBorders>
            <w:shd w:val="clear" w:color="auto" w:fill="auto"/>
            <w:vAlign w:val="bottom"/>
            <w:hideMark/>
          </w:tcPr>
          <w:p w14:paraId="0C67CFBB" w14:textId="77777777" w:rsidR="009E2F44" w:rsidRPr="009E4434" w:rsidRDefault="009E2F44"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 xml:space="preserve">Std. </w:t>
            </w:r>
            <w:proofErr w:type="gramStart"/>
            <w:r w:rsidRPr="009E4434">
              <w:rPr>
                <w:rFonts w:ascii="Times New Roman" w:hAnsi="Times New Roman" w:cs="Times New Roman"/>
                <w:sz w:val="20"/>
                <w:szCs w:val="20"/>
              </w:rPr>
              <w:t>err</w:t>
            </w:r>
            <w:proofErr w:type="gramEnd"/>
            <w:r w:rsidRPr="009E4434">
              <w:rPr>
                <w:rFonts w:ascii="Times New Roman" w:hAnsi="Times New Roman" w:cs="Times New Roman"/>
                <w:sz w:val="20"/>
                <w:szCs w:val="20"/>
              </w:rPr>
              <w:t>.</w:t>
            </w:r>
          </w:p>
        </w:tc>
        <w:tc>
          <w:tcPr>
            <w:tcW w:w="987" w:type="dxa"/>
            <w:tcBorders>
              <w:top w:val="nil"/>
              <w:left w:val="nil"/>
              <w:bottom w:val="single" w:sz="4" w:space="0" w:color="auto"/>
              <w:right w:val="single" w:sz="4" w:space="0" w:color="auto"/>
            </w:tcBorders>
            <w:shd w:val="clear" w:color="auto" w:fill="auto"/>
            <w:noWrap/>
            <w:vAlign w:val="bottom"/>
            <w:hideMark/>
          </w:tcPr>
          <w:p w14:paraId="0598F2B5" w14:textId="77777777" w:rsidR="009E2F44" w:rsidRPr="009E4434" w:rsidRDefault="00B11B32"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z</w:t>
            </w:r>
          </w:p>
        </w:tc>
        <w:tc>
          <w:tcPr>
            <w:tcW w:w="992" w:type="dxa"/>
            <w:tcBorders>
              <w:top w:val="nil"/>
              <w:left w:val="nil"/>
              <w:bottom w:val="single" w:sz="4" w:space="0" w:color="auto"/>
              <w:right w:val="single" w:sz="4" w:space="0" w:color="auto"/>
            </w:tcBorders>
            <w:shd w:val="clear" w:color="auto" w:fill="auto"/>
            <w:noWrap/>
            <w:vAlign w:val="bottom"/>
            <w:hideMark/>
          </w:tcPr>
          <w:p w14:paraId="57A3BEF4" w14:textId="77777777" w:rsidR="009E2F44" w:rsidRPr="009E4434" w:rsidRDefault="009E2F44"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P&gt;|z|</w:t>
            </w:r>
          </w:p>
        </w:tc>
        <w:tc>
          <w:tcPr>
            <w:tcW w:w="1984" w:type="dxa"/>
            <w:gridSpan w:val="2"/>
            <w:tcBorders>
              <w:top w:val="single" w:sz="4" w:space="0" w:color="auto"/>
              <w:left w:val="nil"/>
              <w:bottom w:val="single" w:sz="4" w:space="0" w:color="auto"/>
              <w:right w:val="single" w:sz="4" w:space="0" w:color="auto"/>
            </w:tcBorders>
            <w:shd w:val="clear" w:color="auto" w:fill="auto"/>
            <w:vAlign w:val="bottom"/>
            <w:hideMark/>
          </w:tcPr>
          <w:p w14:paraId="3FE16F22" w14:textId="77777777" w:rsidR="009E2F44" w:rsidRPr="009E4434" w:rsidRDefault="009E2F44"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95% Conf. Interval</w:t>
            </w:r>
          </w:p>
        </w:tc>
      </w:tr>
      <w:tr w:rsidR="009E2F44" w:rsidRPr="009E4434" w14:paraId="607D455B" w14:textId="77777777" w:rsidTr="000441CC">
        <w:trPr>
          <w:trHeight w:val="20"/>
        </w:trPr>
        <w:tc>
          <w:tcPr>
            <w:tcW w:w="4077" w:type="dxa"/>
            <w:tcBorders>
              <w:top w:val="nil"/>
              <w:left w:val="single" w:sz="4" w:space="0" w:color="auto"/>
              <w:bottom w:val="single" w:sz="4" w:space="0" w:color="auto"/>
              <w:right w:val="single" w:sz="4" w:space="0" w:color="auto"/>
            </w:tcBorders>
            <w:shd w:val="clear" w:color="auto" w:fill="auto"/>
            <w:vAlign w:val="bottom"/>
            <w:hideMark/>
          </w:tcPr>
          <w:p w14:paraId="7FB23A6A" w14:textId="77777777" w:rsidR="009E2F44" w:rsidRPr="009E4434" w:rsidRDefault="009E2F44"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Credits to enterprises and organizations with a maturity date from 181 days to 1 year</w:t>
            </w:r>
          </w:p>
        </w:tc>
        <w:tc>
          <w:tcPr>
            <w:tcW w:w="843" w:type="dxa"/>
            <w:tcBorders>
              <w:top w:val="nil"/>
              <w:left w:val="nil"/>
              <w:bottom w:val="single" w:sz="4" w:space="0" w:color="auto"/>
              <w:right w:val="single" w:sz="4" w:space="0" w:color="auto"/>
            </w:tcBorders>
            <w:shd w:val="clear" w:color="auto" w:fill="auto"/>
            <w:noWrap/>
            <w:vAlign w:val="bottom"/>
            <w:hideMark/>
          </w:tcPr>
          <w:p w14:paraId="7377E25A" w14:textId="77777777" w:rsidR="009E2F44" w:rsidRPr="009E4434" w:rsidRDefault="009E2F44"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188.53</w:t>
            </w:r>
          </w:p>
        </w:tc>
        <w:tc>
          <w:tcPr>
            <w:tcW w:w="864" w:type="dxa"/>
            <w:tcBorders>
              <w:top w:val="nil"/>
              <w:left w:val="nil"/>
              <w:bottom w:val="single" w:sz="4" w:space="0" w:color="auto"/>
              <w:right w:val="single" w:sz="4" w:space="0" w:color="auto"/>
            </w:tcBorders>
            <w:shd w:val="clear" w:color="auto" w:fill="auto"/>
            <w:noWrap/>
            <w:vAlign w:val="bottom"/>
            <w:hideMark/>
          </w:tcPr>
          <w:p w14:paraId="59337B9F" w14:textId="77777777" w:rsidR="009E2F44" w:rsidRPr="009E4434" w:rsidRDefault="009E2F44"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83.12</w:t>
            </w:r>
          </w:p>
        </w:tc>
        <w:tc>
          <w:tcPr>
            <w:tcW w:w="987" w:type="dxa"/>
            <w:tcBorders>
              <w:top w:val="nil"/>
              <w:left w:val="nil"/>
              <w:bottom w:val="single" w:sz="4" w:space="0" w:color="auto"/>
              <w:right w:val="single" w:sz="4" w:space="0" w:color="auto"/>
            </w:tcBorders>
            <w:shd w:val="clear" w:color="auto" w:fill="auto"/>
            <w:noWrap/>
            <w:vAlign w:val="bottom"/>
            <w:hideMark/>
          </w:tcPr>
          <w:p w14:paraId="271A7661" w14:textId="77777777" w:rsidR="009E2F44" w:rsidRPr="009E4434" w:rsidRDefault="009E2F44"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2.27</w:t>
            </w:r>
          </w:p>
        </w:tc>
        <w:tc>
          <w:tcPr>
            <w:tcW w:w="992" w:type="dxa"/>
            <w:tcBorders>
              <w:top w:val="nil"/>
              <w:left w:val="nil"/>
              <w:bottom w:val="single" w:sz="4" w:space="0" w:color="auto"/>
              <w:right w:val="single" w:sz="4" w:space="0" w:color="auto"/>
            </w:tcBorders>
            <w:shd w:val="clear" w:color="auto" w:fill="auto"/>
            <w:noWrap/>
            <w:vAlign w:val="bottom"/>
            <w:hideMark/>
          </w:tcPr>
          <w:p w14:paraId="3D3C2521" w14:textId="77777777" w:rsidR="009E2F44" w:rsidRPr="009E4434" w:rsidRDefault="009E2F44"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0.023</w:t>
            </w:r>
          </w:p>
        </w:tc>
        <w:tc>
          <w:tcPr>
            <w:tcW w:w="992" w:type="dxa"/>
            <w:tcBorders>
              <w:top w:val="nil"/>
              <w:left w:val="nil"/>
              <w:bottom w:val="single" w:sz="4" w:space="0" w:color="auto"/>
              <w:right w:val="single" w:sz="4" w:space="0" w:color="auto"/>
            </w:tcBorders>
            <w:shd w:val="clear" w:color="auto" w:fill="auto"/>
            <w:noWrap/>
            <w:vAlign w:val="bottom"/>
            <w:hideMark/>
          </w:tcPr>
          <w:p w14:paraId="47693E2D" w14:textId="77777777" w:rsidR="009E2F44" w:rsidRPr="009E4434" w:rsidRDefault="009E2F44"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25.61</w:t>
            </w:r>
          </w:p>
        </w:tc>
        <w:tc>
          <w:tcPr>
            <w:tcW w:w="992" w:type="dxa"/>
            <w:tcBorders>
              <w:top w:val="nil"/>
              <w:left w:val="nil"/>
              <w:bottom w:val="single" w:sz="4" w:space="0" w:color="auto"/>
              <w:right w:val="single" w:sz="4" w:space="0" w:color="auto"/>
            </w:tcBorders>
            <w:shd w:val="clear" w:color="auto" w:fill="auto"/>
            <w:noWrap/>
            <w:vAlign w:val="bottom"/>
            <w:hideMark/>
          </w:tcPr>
          <w:p w14:paraId="2B83205C" w14:textId="77777777" w:rsidR="009E2F44" w:rsidRPr="009E4434" w:rsidRDefault="009E2F44"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351.45</w:t>
            </w:r>
          </w:p>
        </w:tc>
      </w:tr>
      <w:tr w:rsidR="009E2F44" w:rsidRPr="009E4434" w14:paraId="7706BBE6" w14:textId="77777777" w:rsidTr="000441CC">
        <w:trPr>
          <w:trHeight w:val="20"/>
        </w:trPr>
        <w:tc>
          <w:tcPr>
            <w:tcW w:w="4077" w:type="dxa"/>
            <w:tcBorders>
              <w:top w:val="nil"/>
              <w:left w:val="single" w:sz="4" w:space="0" w:color="auto"/>
              <w:bottom w:val="single" w:sz="4" w:space="0" w:color="auto"/>
              <w:right w:val="single" w:sz="4" w:space="0" w:color="auto"/>
            </w:tcBorders>
            <w:shd w:val="clear" w:color="auto" w:fill="auto"/>
            <w:vAlign w:val="bottom"/>
            <w:hideMark/>
          </w:tcPr>
          <w:p w14:paraId="40DAAF64" w14:textId="77777777" w:rsidR="009E2F44" w:rsidRPr="009E4434" w:rsidRDefault="009E2F44"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Credits to enterprises and organizations – overdrafts</w:t>
            </w:r>
          </w:p>
        </w:tc>
        <w:tc>
          <w:tcPr>
            <w:tcW w:w="843" w:type="dxa"/>
            <w:tcBorders>
              <w:top w:val="nil"/>
              <w:left w:val="nil"/>
              <w:bottom w:val="single" w:sz="4" w:space="0" w:color="auto"/>
              <w:right w:val="single" w:sz="4" w:space="0" w:color="auto"/>
            </w:tcBorders>
            <w:shd w:val="clear" w:color="auto" w:fill="auto"/>
            <w:noWrap/>
            <w:vAlign w:val="bottom"/>
            <w:hideMark/>
          </w:tcPr>
          <w:p w14:paraId="2087686C" w14:textId="77777777" w:rsidR="009E2F44" w:rsidRPr="009E4434" w:rsidRDefault="009E2F44"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48.17</w:t>
            </w:r>
          </w:p>
        </w:tc>
        <w:tc>
          <w:tcPr>
            <w:tcW w:w="864" w:type="dxa"/>
            <w:tcBorders>
              <w:top w:val="nil"/>
              <w:left w:val="nil"/>
              <w:bottom w:val="single" w:sz="4" w:space="0" w:color="auto"/>
              <w:right w:val="single" w:sz="4" w:space="0" w:color="auto"/>
            </w:tcBorders>
            <w:shd w:val="clear" w:color="auto" w:fill="auto"/>
            <w:noWrap/>
            <w:vAlign w:val="bottom"/>
            <w:hideMark/>
          </w:tcPr>
          <w:p w14:paraId="05BDA997" w14:textId="77777777" w:rsidR="009E2F44" w:rsidRPr="009E4434" w:rsidRDefault="009E2F44"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17.86</w:t>
            </w:r>
          </w:p>
        </w:tc>
        <w:tc>
          <w:tcPr>
            <w:tcW w:w="987" w:type="dxa"/>
            <w:tcBorders>
              <w:top w:val="nil"/>
              <w:left w:val="nil"/>
              <w:bottom w:val="single" w:sz="4" w:space="0" w:color="auto"/>
              <w:right w:val="single" w:sz="4" w:space="0" w:color="auto"/>
            </w:tcBorders>
            <w:shd w:val="clear" w:color="auto" w:fill="auto"/>
            <w:noWrap/>
            <w:vAlign w:val="bottom"/>
            <w:hideMark/>
          </w:tcPr>
          <w:p w14:paraId="581FBBBA" w14:textId="77777777" w:rsidR="009E2F44" w:rsidRPr="009E4434" w:rsidRDefault="009E2F44"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2.70</w:t>
            </w:r>
          </w:p>
        </w:tc>
        <w:tc>
          <w:tcPr>
            <w:tcW w:w="992" w:type="dxa"/>
            <w:tcBorders>
              <w:top w:val="nil"/>
              <w:left w:val="nil"/>
              <w:bottom w:val="single" w:sz="4" w:space="0" w:color="auto"/>
              <w:right w:val="single" w:sz="4" w:space="0" w:color="auto"/>
            </w:tcBorders>
            <w:shd w:val="clear" w:color="auto" w:fill="auto"/>
            <w:noWrap/>
            <w:vAlign w:val="bottom"/>
            <w:hideMark/>
          </w:tcPr>
          <w:p w14:paraId="5471BF69" w14:textId="77777777" w:rsidR="009E2F44" w:rsidRPr="009E4434" w:rsidRDefault="009E2F44"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0.007</w:t>
            </w:r>
          </w:p>
        </w:tc>
        <w:tc>
          <w:tcPr>
            <w:tcW w:w="992" w:type="dxa"/>
            <w:tcBorders>
              <w:top w:val="nil"/>
              <w:left w:val="nil"/>
              <w:bottom w:val="single" w:sz="4" w:space="0" w:color="auto"/>
              <w:right w:val="single" w:sz="4" w:space="0" w:color="auto"/>
            </w:tcBorders>
            <w:shd w:val="clear" w:color="auto" w:fill="auto"/>
            <w:noWrap/>
            <w:vAlign w:val="bottom"/>
            <w:hideMark/>
          </w:tcPr>
          <w:p w14:paraId="2AC90E1D" w14:textId="77777777" w:rsidR="009E2F44" w:rsidRPr="009E4434" w:rsidRDefault="009E2F44"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13.17</w:t>
            </w:r>
          </w:p>
        </w:tc>
        <w:tc>
          <w:tcPr>
            <w:tcW w:w="992" w:type="dxa"/>
            <w:tcBorders>
              <w:top w:val="nil"/>
              <w:left w:val="nil"/>
              <w:bottom w:val="single" w:sz="4" w:space="0" w:color="auto"/>
              <w:right w:val="single" w:sz="4" w:space="0" w:color="auto"/>
            </w:tcBorders>
            <w:shd w:val="clear" w:color="auto" w:fill="auto"/>
            <w:noWrap/>
            <w:vAlign w:val="bottom"/>
            <w:hideMark/>
          </w:tcPr>
          <w:p w14:paraId="7E2F48BF" w14:textId="77777777" w:rsidR="009E2F44" w:rsidRPr="009E4434" w:rsidRDefault="009E2F44"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83.17</w:t>
            </w:r>
          </w:p>
        </w:tc>
      </w:tr>
      <w:tr w:rsidR="009E2F44" w:rsidRPr="009E4434" w14:paraId="2C50D5C4" w14:textId="77777777" w:rsidTr="000441CC">
        <w:trPr>
          <w:trHeight w:val="20"/>
        </w:trPr>
        <w:tc>
          <w:tcPr>
            <w:tcW w:w="4077" w:type="dxa"/>
            <w:tcBorders>
              <w:top w:val="nil"/>
              <w:left w:val="single" w:sz="4" w:space="0" w:color="auto"/>
              <w:bottom w:val="single" w:sz="4" w:space="0" w:color="auto"/>
              <w:right w:val="single" w:sz="4" w:space="0" w:color="auto"/>
            </w:tcBorders>
            <w:shd w:val="clear" w:color="auto" w:fill="auto"/>
            <w:vAlign w:val="bottom"/>
            <w:hideMark/>
          </w:tcPr>
          <w:p w14:paraId="586351C7" w14:textId="77777777" w:rsidR="009E2F44" w:rsidRPr="009E4434" w:rsidRDefault="009E2F44"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Investments in bonds</w:t>
            </w:r>
          </w:p>
        </w:tc>
        <w:tc>
          <w:tcPr>
            <w:tcW w:w="843" w:type="dxa"/>
            <w:tcBorders>
              <w:top w:val="nil"/>
              <w:left w:val="nil"/>
              <w:bottom w:val="single" w:sz="4" w:space="0" w:color="auto"/>
              <w:right w:val="single" w:sz="4" w:space="0" w:color="auto"/>
            </w:tcBorders>
            <w:shd w:val="clear" w:color="auto" w:fill="auto"/>
            <w:noWrap/>
            <w:vAlign w:val="bottom"/>
            <w:hideMark/>
          </w:tcPr>
          <w:p w14:paraId="7545166F" w14:textId="77777777" w:rsidR="009E2F44" w:rsidRPr="009E4434" w:rsidRDefault="009E2F44"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387.29</w:t>
            </w:r>
          </w:p>
        </w:tc>
        <w:tc>
          <w:tcPr>
            <w:tcW w:w="864" w:type="dxa"/>
            <w:tcBorders>
              <w:top w:val="nil"/>
              <w:left w:val="nil"/>
              <w:bottom w:val="single" w:sz="4" w:space="0" w:color="auto"/>
              <w:right w:val="single" w:sz="4" w:space="0" w:color="auto"/>
            </w:tcBorders>
            <w:shd w:val="clear" w:color="auto" w:fill="auto"/>
            <w:noWrap/>
            <w:vAlign w:val="bottom"/>
            <w:hideMark/>
          </w:tcPr>
          <w:p w14:paraId="767A83AD" w14:textId="77777777" w:rsidR="009E2F44" w:rsidRPr="009E4434" w:rsidRDefault="009E2F44"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131.92</w:t>
            </w:r>
          </w:p>
        </w:tc>
        <w:tc>
          <w:tcPr>
            <w:tcW w:w="987" w:type="dxa"/>
            <w:tcBorders>
              <w:top w:val="nil"/>
              <w:left w:val="nil"/>
              <w:bottom w:val="single" w:sz="4" w:space="0" w:color="auto"/>
              <w:right w:val="single" w:sz="4" w:space="0" w:color="auto"/>
            </w:tcBorders>
            <w:shd w:val="clear" w:color="auto" w:fill="auto"/>
            <w:noWrap/>
            <w:vAlign w:val="bottom"/>
            <w:hideMark/>
          </w:tcPr>
          <w:p w14:paraId="551A7EA7" w14:textId="77777777" w:rsidR="009E2F44" w:rsidRPr="009E4434" w:rsidRDefault="009E2F44"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2.94</w:t>
            </w:r>
          </w:p>
        </w:tc>
        <w:tc>
          <w:tcPr>
            <w:tcW w:w="992" w:type="dxa"/>
            <w:tcBorders>
              <w:top w:val="nil"/>
              <w:left w:val="nil"/>
              <w:bottom w:val="single" w:sz="4" w:space="0" w:color="auto"/>
              <w:right w:val="single" w:sz="4" w:space="0" w:color="auto"/>
            </w:tcBorders>
            <w:shd w:val="clear" w:color="auto" w:fill="auto"/>
            <w:noWrap/>
            <w:vAlign w:val="bottom"/>
            <w:hideMark/>
          </w:tcPr>
          <w:p w14:paraId="7479C1C7" w14:textId="77777777" w:rsidR="009E2F44" w:rsidRPr="009E4434" w:rsidRDefault="009E2F44"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0.003</w:t>
            </w:r>
          </w:p>
        </w:tc>
        <w:tc>
          <w:tcPr>
            <w:tcW w:w="992" w:type="dxa"/>
            <w:tcBorders>
              <w:top w:val="nil"/>
              <w:left w:val="nil"/>
              <w:bottom w:val="single" w:sz="4" w:space="0" w:color="auto"/>
              <w:right w:val="single" w:sz="4" w:space="0" w:color="auto"/>
            </w:tcBorders>
            <w:shd w:val="clear" w:color="auto" w:fill="auto"/>
            <w:noWrap/>
            <w:vAlign w:val="bottom"/>
            <w:hideMark/>
          </w:tcPr>
          <w:p w14:paraId="7E0BEBD2" w14:textId="77777777" w:rsidR="009E2F44" w:rsidRPr="009E4434" w:rsidRDefault="009E2F44"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128.74</w:t>
            </w:r>
          </w:p>
        </w:tc>
        <w:tc>
          <w:tcPr>
            <w:tcW w:w="992" w:type="dxa"/>
            <w:tcBorders>
              <w:top w:val="nil"/>
              <w:left w:val="nil"/>
              <w:bottom w:val="single" w:sz="4" w:space="0" w:color="auto"/>
              <w:right w:val="single" w:sz="4" w:space="0" w:color="auto"/>
            </w:tcBorders>
            <w:shd w:val="clear" w:color="auto" w:fill="auto"/>
            <w:noWrap/>
            <w:vAlign w:val="bottom"/>
            <w:hideMark/>
          </w:tcPr>
          <w:p w14:paraId="2A62D34C" w14:textId="77777777" w:rsidR="009E2F44" w:rsidRPr="009E4434" w:rsidRDefault="009E2F44"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645.85</w:t>
            </w:r>
          </w:p>
        </w:tc>
      </w:tr>
      <w:tr w:rsidR="009E2F44" w:rsidRPr="009E4434" w14:paraId="3F868860" w14:textId="77777777" w:rsidTr="000441CC">
        <w:trPr>
          <w:trHeight w:val="20"/>
        </w:trPr>
        <w:tc>
          <w:tcPr>
            <w:tcW w:w="4077" w:type="dxa"/>
            <w:tcBorders>
              <w:top w:val="nil"/>
              <w:left w:val="single" w:sz="4" w:space="0" w:color="auto"/>
              <w:bottom w:val="single" w:sz="4" w:space="0" w:color="auto"/>
              <w:right w:val="single" w:sz="4" w:space="0" w:color="auto"/>
            </w:tcBorders>
            <w:shd w:val="clear" w:color="auto" w:fill="auto"/>
            <w:vAlign w:val="bottom"/>
            <w:hideMark/>
          </w:tcPr>
          <w:p w14:paraId="34257ACC" w14:textId="77777777" w:rsidR="009E2F44" w:rsidRPr="009E4434" w:rsidRDefault="009E2F44"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Investments in promissory notes</w:t>
            </w:r>
          </w:p>
        </w:tc>
        <w:tc>
          <w:tcPr>
            <w:tcW w:w="843" w:type="dxa"/>
            <w:tcBorders>
              <w:top w:val="nil"/>
              <w:left w:val="nil"/>
              <w:bottom w:val="single" w:sz="4" w:space="0" w:color="auto"/>
              <w:right w:val="single" w:sz="4" w:space="0" w:color="auto"/>
            </w:tcBorders>
            <w:shd w:val="clear" w:color="auto" w:fill="auto"/>
            <w:noWrap/>
            <w:vAlign w:val="bottom"/>
            <w:hideMark/>
          </w:tcPr>
          <w:p w14:paraId="1CE4BF99" w14:textId="77777777" w:rsidR="009E2F44" w:rsidRPr="009E4434" w:rsidRDefault="009E2F44"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-30.35</w:t>
            </w:r>
          </w:p>
        </w:tc>
        <w:tc>
          <w:tcPr>
            <w:tcW w:w="864" w:type="dxa"/>
            <w:tcBorders>
              <w:top w:val="nil"/>
              <w:left w:val="nil"/>
              <w:bottom w:val="single" w:sz="4" w:space="0" w:color="auto"/>
              <w:right w:val="single" w:sz="4" w:space="0" w:color="auto"/>
            </w:tcBorders>
            <w:shd w:val="clear" w:color="auto" w:fill="auto"/>
            <w:noWrap/>
            <w:vAlign w:val="bottom"/>
            <w:hideMark/>
          </w:tcPr>
          <w:p w14:paraId="0E97221B" w14:textId="77777777" w:rsidR="009E2F44" w:rsidRPr="009E4434" w:rsidRDefault="009E2F44"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14.83</w:t>
            </w:r>
          </w:p>
        </w:tc>
        <w:tc>
          <w:tcPr>
            <w:tcW w:w="987" w:type="dxa"/>
            <w:tcBorders>
              <w:top w:val="nil"/>
              <w:left w:val="nil"/>
              <w:bottom w:val="single" w:sz="4" w:space="0" w:color="auto"/>
              <w:right w:val="single" w:sz="4" w:space="0" w:color="auto"/>
            </w:tcBorders>
            <w:shd w:val="clear" w:color="auto" w:fill="auto"/>
            <w:noWrap/>
            <w:vAlign w:val="bottom"/>
            <w:hideMark/>
          </w:tcPr>
          <w:p w14:paraId="57043143" w14:textId="77777777" w:rsidR="009E2F44" w:rsidRPr="009E4434" w:rsidRDefault="009E2F44"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-2.05</w:t>
            </w:r>
          </w:p>
        </w:tc>
        <w:tc>
          <w:tcPr>
            <w:tcW w:w="992" w:type="dxa"/>
            <w:tcBorders>
              <w:top w:val="nil"/>
              <w:left w:val="nil"/>
              <w:bottom w:val="single" w:sz="4" w:space="0" w:color="auto"/>
              <w:right w:val="single" w:sz="4" w:space="0" w:color="auto"/>
            </w:tcBorders>
            <w:shd w:val="clear" w:color="auto" w:fill="auto"/>
            <w:noWrap/>
            <w:vAlign w:val="bottom"/>
            <w:hideMark/>
          </w:tcPr>
          <w:p w14:paraId="56E2ADCE" w14:textId="77777777" w:rsidR="009E2F44" w:rsidRPr="009E4434" w:rsidRDefault="009E2F44"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0.003</w:t>
            </w:r>
          </w:p>
        </w:tc>
        <w:tc>
          <w:tcPr>
            <w:tcW w:w="992" w:type="dxa"/>
            <w:tcBorders>
              <w:top w:val="nil"/>
              <w:left w:val="nil"/>
              <w:bottom w:val="single" w:sz="4" w:space="0" w:color="auto"/>
              <w:right w:val="single" w:sz="4" w:space="0" w:color="auto"/>
            </w:tcBorders>
            <w:shd w:val="clear" w:color="auto" w:fill="auto"/>
            <w:noWrap/>
            <w:vAlign w:val="bottom"/>
            <w:hideMark/>
          </w:tcPr>
          <w:p w14:paraId="5132A934" w14:textId="77777777" w:rsidR="009E2F44" w:rsidRPr="009E4434" w:rsidRDefault="009E2F44"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128.74</w:t>
            </w:r>
          </w:p>
        </w:tc>
        <w:tc>
          <w:tcPr>
            <w:tcW w:w="992" w:type="dxa"/>
            <w:tcBorders>
              <w:top w:val="nil"/>
              <w:left w:val="nil"/>
              <w:bottom w:val="single" w:sz="4" w:space="0" w:color="auto"/>
              <w:right w:val="single" w:sz="4" w:space="0" w:color="auto"/>
            </w:tcBorders>
            <w:shd w:val="clear" w:color="auto" w:fill="auto"/>
            <w:noWrap/>
            <w:vAlign w:val="bottom"/>
            <w:hideMark/>
          </w:tcPr>
          <w:p w14:paraId="1F9202EA" w14:textId="77777777" w:rsidR="009E2F44" w:rsidRPr="009E4434" w:rsidRDefault="009E2F44"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645.85</w:t>
            </w:r>
          </w:p>
        </w:tc>
      </w:tr>
    </w:tbl>
    <w:p w14:paraId="272A9BA6" w14:textId="77777777" w:rsidR="00FB6DA0" w:rsidRPr="009E4434" w:rsidRDefault="00C82AA4" w:rsidP="004B0B40">
      <w:pPr>
        <w:spacing w:after="0" w:line="360" w:lineRule="auto"/>
        <w:ind w:right="-1"/>
        <w:jc w:val="center"/>
        <w:rPr>
          <w:rFonts w:ascii="Times New Roman" w:hAnsi="Times New Roman" w:cs="Times New Roman"/>
          <w:sz w:val="20"/>
          <w:szCs w:val="20"/>
        </w:rPr>
      </w:pPr>
      <w:r w:rsidRPr="009E4434">
        <w:rPr>
          <w:rFonts w:ascii="Times New Roman" w:hAnsi="Times New Roman" w:cs="Times New Roman"/>
          <w:sz w:val="20"/>
          <w:szCs w:val="20"/>
        </w:rPr>
        <w:t xml:space="preserve">Fig. 6 — Logit regression over the lowest hierarchy, including macroeconomic indicators, for the sampling with </w:t>
      </w:r>
      <m:oMath>
        <m:r>
          <w:rPr>
            <w:rFonts w:ascii="Cambria Math" w:hAnsi="Cambria Math" w:cs="Times New Roman"/>
            <w:sz w:val="20"/>
            <w:szCs w:val="20"/>
          </w:rPr>
          <m:t>p=0,8</m:t>
        </m:r>
      </m:oMath>
    </w:p>
    <w:p w14:paraId="28A201CD" w14:textId="77777777" w:rsidR="00FB6DA0" w:rsidRPr="00C57DFA" w:rsidRDefault="00E601AE" w:rsidP="004B0B40">
      <w:pPr>
        <w:spacing w:after="0" w:line="360" w:lineRule="auto"/>
        <w:ind w:right="-1"/>
        <w:jc w:val="both"/>
        <w:rPr>
          <w:rFonts w:ascii="Times New Roman" w:hAnsi="Times New Roman" w:cs="Times New Roman"/>
          <w:sz w:val="28"/>
          <w:szCs w:val="28"/>
        </w:rPr>
      </w:pPr>
      <w:r w:rsidRPr="00C57DFA">
        <w:rPr>
          <w:rFonts w:ascii="Times New Roman" w:hAnsi="Times New Roman" w:cs="Times New Roman"/>
          <w:sz w:val="28"/>
          <w:szCs w:val="28"/>
        </w:rPr>
        <w:t xml:space="preserve">Similar </w:t>
      </w:r>
      <w:proofErr w:type="spellStart"/>
      <w:r w:rsidRPr="00C57DFA">
        <w:rPr>
          <w:rFonts w:ascii="Times New Roman" w:hAnsi="Times New Roman" w:cs="Times New Roman"/>
          <w:sz w:val="28"/>
          <w:szCs w:val="28"/>
        </w:rPr>
        <w:t>probit</w:t>
      </w:r>
      <w:proofErr w:type="spellEnd"/>
      <w:r w:rsidRPr="00C57DFA">
        <w:rPr>
          <w:rFonts w:ascii="Times New Roman" w:hAnsi="Times New Roman" w:cs="Times New Roman"/>
          <w:sz w:val="28"/>
          <w:szCs w:val="28"/>
        </w:rPr>
        <w:t xml:space="preserve"> regression is displayed in Fig. 7.</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837"/>
        <w:gridCol w:w="1006"/>
        <w:gridCol w:w="883"/>
        <w:gridCol w:w="1102"/>
        <w:gridCol w:w="840"/>
        <w:gridCol w:w="1109"/>
      </w:tblGrid>
      <w:tr w:rsidR="00D27D65" w:rsidRPr="009E4434" w14:paraId="5F15FB6D" w14:textId="77777777" w:rsidTr="000441CC">
        <w:trPr>
          <w:trHeight w:val="20"/>
        </w:trPr>
        <w:tc>
          <w:tcPr>
            <w:tcW w:w="4077" w:type="dxa"/>
            <w:shd w:val="clear" w:color="auto" w:fill="auto"/>
            <w:vAlign w:val="center"/>
            <w:hideMark/>
          </w:tcPr>
          <w:p w14:paraId="6A2BEEC9" w14:textId="77777777" w:rsidR="00D27D65" w:rsidRPr="009E4434" w:rsidRDefault="00EE2E0C" w:rsidP="009E4434">
            <w:pPr>
              <w:spacing w:after="0" w:line="240" w:lineRule="auto"/>
              <w:ind w:right="-1"/>
              <w:jc w:val="center"/>
              <w:rPr>
                <w:rFonts w:ascii="Times New Roman" w:eastAsia="Times New Roman" w:hAnsi="Times New Roman" w:cs="Times New Roman"/>
                <w:b/>
                <w:bCs/>
                <w:sz w:val="20"/>
                <w:szCs w:val="20"/>
              </w:rPr>
            </w:pPr>
            <w:r w:rsidRPr="009E4434">
              <w:rPr>
                <w:rFonts w:ascii="Times New Roman" w:hAnsi="Times New Roman" w:cs="Times New Roman"/>
                <w:b/>
                <w:sz w:val="20"/>
                <w:szCs w:val="20"/>
              </w:rPr>
              <w:t>R</w:t>
            </w:r>
            <w:r w:rsidR="00D27D65" w:rsidRPr="009E4434">
              <w:rPr>
                <w:rFonts w:ascii="Times New Roman" w:hAnsi="Times New Roman" w:cs="Times New Roman"/>
                <w:b/>
                <w:sz w:val="20"/>
                <w:szCs w:val="20"/>
              </w:rPr>
              <w:t xml:space="preserve">andom-effects </w:t>
            </w:r>
            <w:proofErr w:type="spellStart"/>
            <w:r w:rsidR="00D27D65" w:rsidRPr="009E4434">
              <w:rPr>
                <w:rFonts w:ascii="Times New Roman" w:hAnsi="Times New Roman" w:cs="Times New Roman"/>
                <w:b/>
                <w:sz w:val="20"/>
                <w:szCs w:val="20"/>
              </w:rPr>
              <w:t>probit</w:t>
            </w:r>
            <w:proofErr w:type="spellEnd"/>
            <w:r w:rsidR="00D27D65" w:rsidRPr="009E4434">
              <w:rPr>
                <w:rFonts w:ascii="Times New Roman" w:hAnsi="Times New Roman" w:cs="Times New Roman"/>
                <w:b/>
                <w:sz w:val="20"/>
                <w:szCs w:val="20"/>
              </w:rPr>
              <w:t xml:space="preserve"> regression</w:t>
            </w:r>
          </w:p>
        </w:tc>
        <w:tc>
          <w:tcPr>
            <w:tcW w:w="1843" w:type="dxa"/>
            <w:gridSpan w:val="2"/>
            <w:shd w:val="clear" w:color="auto" w:fill="auto"/>
            <w:vAlign w:val="bottom"/>
            <w:hideMark/>
          </w:tcPr>
          <w:p w14:paraId="327482A4"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 xml:space="preserve">Number of </w:t>
            </w:r>
            <w:proofErr w:type="spellStart"/>
            <w:r w:rsidRPr="009E4434">
              <w:rPr>
                <w:rFonts w:ascii="Times New Roman" w:hAnsi="Times New Roman" w:cs="Times New Roman"/>
                <w:sz w:val="20"/>
                <w:szCs w:val="20"/>
              </w:rPr>
              <w:t>obs</w:t>
            </w:r>
            <w:proofErr w:type="spellEnd"/>
            <w:r w:rsidRPr="009E4434">
              <w:rPr>
                <w:rFonts w:ascii="Times New Roman" w:hAnsi="Times New Roman" w:cs="Times New Roman"/>
                <w:sz w:val="20"/>
                <w:szCs w:val="20"/>
              </w:rPr>
              <w:t xml:space="preserve"> = 522</w:t>
            </w:r>
          </w:p>
        </w:tc>
        <w:tc>
          <w:tcPr>
            <w:tcW w:w="1985" w:type="dxa"/>
            <w:gridSpan w:val="2"/>
            <w:vMerge w:val="restart"/>
            <w:shd w:val="clear" w:color="auto" w:fill="auto"/>
            <w:vAlign w:val="bottom"/>
            <w:hideMark/>
          </w:tcPr>
          <w:p w14:paraId="3AC49D74"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proofErr w:type="spellStart"/>
            <w:r w:rsidRPr="009E4434">
              <w:rPr>
                <w:rFonts w:ascii="Times New Roman" w:hAnsi="Times New Roman" w:cs="Times New Roman"/>
                <w:sz w:val="20"/>
                <w:szCs w:val="20"/>
              </w:rPr>
              <w:t>obs</w:t>
            </w:r>
            <w:proofErr w:type="spellEnd"/>
            <w:r w:rsidRPr="009E4434">
              <w:rPr>
                <w:rFonts w:ascii="Times New Roman" w:hAnsi="Times New Roman" w:cs="Times New Roman"/>
                <w:sz w:val="20"/>
                <w:szCs w:val="20"/>
              </w:rPr>
              <w:t xml:space="preserve"> per group: min = 1, </w:t>
            </w:r>
            <w:proofErr w:type="spellStart"/>
            <w:r w:rsidRPr="009E4434">
              <w:rPr>
                <w:rFonts w:ascii="Times New Roman" w:hAnsi="Times New Roman" w:cs="Times New Roman"/>
                <w:sz w:val="20"/>
                <w:szCs w:val="20"/>
              </w:rPr>
              <w:t>avg</w:t>
            </w:r>
            <w:proofErr w:type="spellEnd"/>
            <w:r w:rsidRPr="009E4434">
              <w:rPr>
                <w:rFonts w:ascii="Times New Roman" w:hAnsi="Times New Roman" w:cs="Times New Roman"/>
                <w:sz w:val="20"/>
                <w:szCs w:val="20"/>
              </w:rPr>
              <w:t xml:space="preserve"> = 5.3, max = 6</w:t>
            </w:r>
          </w:p>
        </w:tc>
        <w:tc>
          <w:tcPr>
            <w:tcW w:w="1949" w:type="dxa"/>
            <w:gridSpan w:val="2"/>
            <w:vMerge w:val="restart"/>
            <w:shd w:val="clear" w:color="auto" w:fill="auto"/>
            <w:vAlign w:val="bottom"/>
            <w:hideMark/>
          </w:tcPr>
          <w:p w14:paraId="23D936BF" w14:textId="77777777" w:rsidR="00D27D65" w:rsidRPr="009E4434" w:rsidRDefault="00BB476E"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Wald chi2(29) = 21.94</w:t>
            </w:r>
            <w:r w:rsidRPr="009E4434">
              <w:rPr>
                <w:rFonts w:ascii="Times New Roman" w:eastAsia="Times New Roman" w:hAnsi="Times New Roman" w:cs="Times New Roman"/>
                <w:bCs/>
                <w:sz w:val="20"/>
                <w:szCs w:val="20"/>
              </w:rPr>
              <w:br/>
            </w:r>
            <w:proofErr w:type="spellStart"/>
            <w:r w:rsidRPr="009E4434">
              <w:rPr>
                <w:rFonts w:ascii="Times New Roman" w:hAnsi="Times New Roman" w:cs="Times New Roman"/>
                <w:sz w:val="20"/>
                <w:szCs w:val="20"/>
              </w:rPr>
              <w:t>Prob</w:t>
            </w:r>
            <w:proofErr w:type="spellEnd"/>
            <w:r w:rsidRPr="009E4434">
              <w:rPr>
                <w:rFonts w:ascii="Times New Roman" w:hAnsi="Times New Roman" w:cs="Times New Roman"/>
                <w:sz w:val="20"/>
                <w:szCs w:val="20"/>
              </w:rPr>
              <w:t xml:space="preserve"> &gt; chi2 =0.9874</w:t>
            </w:r>
          </w:p>
        </w:tc>
      </w:tr>
      <w:tr w:rsidR="00D27D65" w:rsidRPr="009E4434" w14:paraId="3519F748" w14:textId="77777777" w:rsidTr="000441CC">
        <w:trPr>
          <w:trHeight w:val="20"/>
        </w:trPr>
        <w:tc>
          <w:tcPr>
            <w:tcW w:w="4077" w:type="dxa"/>
            <w:shd w:val="clear" w:color="auto" w:fill="auto"/>
            <w:vAlign w:val="center"/>
            <w:hideMark/>
          </w:tcPr>
          <w:p w14:paraId="695B6DB8"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group variable: license number</w:t>
            </w:r>
          </w:p>
        </w:tc>
        <w:tc>
          <w:tcPr>
            <w:tcW w:w="1843" w:type="dxa"/>
            <w:gridSpan w:val="2"/>
            <w:shd w:val="clear" w:color="auto" w:fill="auto"/>
            <w:vAlign w:val="bottom"/>
            <w:hideMark/>
          </w:tcPr>
          <w:p w14:paraId="738D25F9"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number of groups = 98</w:t>
            </w:r>
          </w:p>
        </w:tc>
        <w:tc>
          <w:tcPr>
            <w:tcW w:w="1985" w:type="dxa"/>
            <w:gridSpan w:val="2"/>
            <w:vMerge/>
            <w:vAlign w:val="center"/>
            <w:hideMark/>
          </w:tcPr>
          <w:p w14:paraId="08F6C483" w14:textId="77777777" w:rsidR="00D27D65" w:rsidRPr="009E4434" w:rsidRDefault="00D27D65" w:rsidP="009E4434">
            <w:pPr>
              <w:spacing w:after="0" w:line="240" w:lineRule="auto"/>
              <w:ind w:right="-1"/>
              <w:rPr>
                <w:rFonts w:ascii="Times New Roman" w:eastAsia="Times New Roman" w:hAnsi="Times New Roman" w:cs="Times New Roman"/>
                <w:bCs/>
                <w:sz w:val="20"/>
                <w:szCs w:val="20"/>
              </w:rPr>
            </w:pPr>
          </w:p>
        </w:tc>
        <w:tc>
          <w:tcPr>
            <w:tcW w:w="1949" w:type="dxa"/>
            <w:gridSpan w:val="2"/>
            <w:vMerge/>
            <w:vAlign w:val="center"/>
            <w:hideMark/>
          </w:tcPr>
          <w:p w14:paraId="7DDD7D39" w14:textId="77777777" w:rsidR="00D27D65" w:rsidRPr="009E4434" w:rsidRDefault="00D27D65" w:rsidP="009E4434">
            <w:pPr>
              <w:spacing w:after="0" w:line="240" w:lineRule="auto"/>
              <w:ind w:right="-1"/>
              <w:rPr>
                <w:rFonts w:ascii="Times New Roman" w:eastAsia="Times New Roman" w:hAnsi="Times New Roman" w:cs="Times New Roman"/>
                <w:bCs/>
                <w:sz w:val="20"/>
                <w:szCs w:val="20"/>
              </w:rPr>
            </w:pPr>
          </w:p>
        </w:tc>
      </w:tr>
      <w:tr w:rsidR="00154BC7" w:rsidRPr="009E4434" w14:paraId="2E977C0F" w14:textId="77777777" w:rsidTr="000441CC">
        <w:trPr>
          <w:trHeight w:val="20"/>
        </w:trPr>
        <w:tc>
          <w:tcPr>
            <w:tcW w:w="4077" w:type="dxa"/>
            <w:shd w:val="clear" w:color="auto" w:fill="auto"/>
            <w:noWrap/>
            <w:vAlign w:val="bottom"/>
            <w:hideMark/>
          </w:tcPr>
          <w:p w14:paraId="40305D7F"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 </w:t>
            </w:r>
          </w:p>
        </w:tc>
        <w:tc>
          <w:tcPr>
            <w:tcW w:w="837" w:type="dxa"/>
            <w:shd w:val="clear" w:color="auto" w:fill="auto"/>
            <w:noWrap/>
            <w:vAlign w:val="bottom"/>
            <w:hideMark/>
          </w:tcPr>
          <w:p w14:paraId="1A7FB0E6"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proofErr w:type="spellStart"/>
            <w:r w:rsidRPr="009E4434">
              <w:rPr>
                <w:rFonts w:ascii="Times New Roman" w:hAnsi="Times New Roman" w:cs="Times New Roman"/>
                <w:sz w:val="20"/>
                <w:szCs w:val="20"/>
              </w:rPr>
              <w:t>Coef</w:t>
            </w:r>
            <w:proofErr w:type="spellEnd"/>
            <w:r w:rsidRPr="009E4434">
              <w:rPr>
                <w:rFonts w:ascii="Times New Roman" w:hAnsi="Times New Roman" w:cs="Times New Roman"/>
                <w:sz w:val="20"/>
                <w:szCs w:val="20"/>
              </w:rPr>
              <w:t>.</w:t>
            </w:r>
          </w:p>
        </w:tc>
        <w:tc>
          <w:tcPr>
            <w:tcW w:w="1006" w:type="dxa"/>
            <w:shd w:val="clear" w:color="auto" w:fill="auto"/>
            <w:vAlign w:val="bottom"/>
            <w:hideMark/>
          </w:tcPr>
          <w:p w14:paraId="2FB22047"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 xml:space="preserve">Std. </w:t>
            </w:r>
            <w:proofErr w:type="gramStart"/>
            <w:r w:rsidRPr="009E4434">
              <w:rPr>
                <w:rFonts w:ascii="Times New Roman" w:hAnsi="Times New Roman" w:cs="Times New Roman"/>
                <w:sz w:val="20"/>
                <w:szCs w:val="20"/>
              </w:rPr>
              <w:t>err</w:t>
            </w:r>
            <w:proofErr w:type="gramEnd"/>
            <w:r w:rsidRPr="009E4434">
              <w:rPr>
                <w:rFonts w:ascii="Times New Roman" w:hAnsi="Times New Roman" w:cs="Times New Roman"/>
                <w:sz w:val="20"/>
                <w:szCs w:val="20"/>
              </w:rPr>
              <w:t>.</w:t>
            </w:r>
          </w:p>
        </w:tc>
        <w:tc>
          <w:tcPr>
            <w:tcW w:w="883" w:type="dxa"/>
            <w:shd w:val="clear" w:color="auto" w:fill="auto"/>
            <w:noWrap/>
            <w:vAlign w:val="bottom"/>
            <w:hideMark/>
          </w:tcPr>
          <w:p w14:paraId="5F8D0A86"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z</w:t>
            </w:r>
          </w:p>
        </w:tc>
        <w:tc>
          <w:tcPr>
            <w:tcW w:w="1102" w:type="dxa"/>
            <w:shd w:val="clear" w:color="auto" w:fill="auto"/>
            <w:noWrap/>
            <w:vAlign w:val="bottom"/>
            <w:hideMark/>
          </w:tcPr>
          <w:p w14:paraId="40D9A280"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P&gt;|z|</w:t>
            </w:r>
          </w:p>
        </w:tc>
        <w:tc>
          <w:tcPr>
            <w:tcW w:w="1949" w:type="dxa"/>
            <w:gridSpan w:val="2"/>
            <w:shd w:val="clear" w:color="auto" w:fill="auto"/>
            <w:vAlign w:val="bottom"/>
            <w:hideMark/>
          </w:tcPr>
          <w:p w14:paraId="783BF0F2"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95% Conf. Interval</w:t>
            </w:r>
          </w:p>
        </w:tc>
      </w:tr>
      <w:tr w:rsidR="00154BC7" w:rsidRPr="009E4434" w14:paraId="6DD18F30" w14:textId="77777777" w:rsidTr="000441CC">
        <w:trPr>
          <w:trHeight w:val="20"/>
        </w:trPr>
        <w:tc>
          <w:tcPr>
            <w:tcW w:w="4077" w:type="dxa"/>
            <w:shd w:val="clear" w:color="auto" w:fill="auto"/>
            <w:vAlign w:val="bottom"/>
            <w:hideMark/>
          </w:tcPr>
          <w:p w14:paraId="047F26F1"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Credits to enterprises and organizations with a maturity date from 181 days to 1 year</w:t>
            </w:r>
          </w:p>
        </w:tc>
        <w:tc>
          <w:tcPr>
            <w:tcW w:w="837" w:type="dxa"/>
            <w:shd w:val="clear" w:color="auto" w:fill="auto"/>
            <w:noWrap/>
            <w:vAlign w:val="bottom"/>
            <w:hideMark/>
          </w:tcPr>
          <w:p w14:paraId="1D0596B6"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99.54</w:t>
            </w:r>
          </w:p>
        </w:tc>
        <w:tc>
          <w:tcPr>
            <w:tcW w:w="1006" w:type="dxa"/>
            <w:shd w:val="clear" w:color="auto" w:fill="auto"/>
            <w:noWrap/>
            <w:vAlign w:val="bottom"/>
            <w:hideMark/>
          </w:tcPr>
          <w:p w14:paraId="7A738F91"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38.34</w:t>
            </w:r>
          </w:p>
        </w:tc>
        <w:tc>
          <w:tcPr>
            <w:tcW w:w="883" w:type="dxa"/>
            <w:shd w:val="clear" w:color="auto" w:fill="auto"/>
            <w:noWrap/>
            <w:vAlign w:val="bottom"/>
            <w:hideMark/>
          </w:tcPr>
          <w:p w14:paraId="3E57AA82"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2.60</w:t>
            </w:r>
          </w:p>
        </w:tc>
        <w:tc>
          <w:tcPr>
            <w:tcW w:w="1102" w:type="dxa"/>
            <w:shd w:val="clear" w:color="auto" w:fill="auto"/>
            <w:noWrap/>
            <w:vAlign w:val="bottom"/>
            <w:hideMark/>
          </w:tcPr>
          <w:p w14:paraId="44350861"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0.009</w:t>
            </w:r>
          </w:p>
        </w:tc>
        <w:tc>
          <w:tcPr>
            <w:tcW w:w="840" w:type="dxa"/>
            <w:shd w:val="clear" w:color="auto" w:fill="auto"/>
            <w:noWrap/>
            <w:vAlign w:val="bottom"/>
            <w:hideMark/>
          </w:tcPr>
          <w:p w14:paraId="418F5232"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24.41</w:t>
            </w:r>
          </w:p>
        </w:tc>
        <w:tc>
          <w:tcPr>
            <w:tcW w:w="1109" w:type="dxa"/>
            <w:shd w:val="clear" w:color="auto" w:fill="auto"/>
            <w:noWrap/>
            <w:vAlign w:val="bottom"/>
            <w:hideMark/>
          </w:tcPr>
          <w:p w14:paraId="325123A7"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174.68</w:t>
            </w:r>
          </w:p>
        </w:tc>
      </w:tr>
      <w:tr w:rsidR="00154BC7" w:rsidRPr="009E4434" w14:paraId="2BAFD9C7" w14:textId="77777777" w:rsidTr="000441CC">
        <w:trPr>
          <w:trHeight w:val="20"/>
        </w:trPr>
        <w:tc>
          <w:tcPr>
            <w:tcW w:w="4077" w:type="dxa"/>
            <w:shd w:val="clear" w:color="auto" w:fill="auto"/>
            <w:vAlign w:val="bottom"/>
            <w:hideMark/>
          </w:tcPr>
          <w:p w14:paraId="1B6F1642"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Credits to enterprises and organizations – overdrafts</w:t>
            </w:r>
          </w:p>
        </w:tc>
        <w:tc>
          <w:tcPr>
            <w:tcW w:w="837" w:type="dxa"/>
            <w:shd w:val="clear" w:color="auto" w:fill="auto"/>
            <w:noWrap/>
            <w:vAlign w:val="bottom"/>
            <w:hideMark/>
          </w:tcPr>
          <w:p w14:paraId="0FB59229"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26.01</w:t>
            </w:r>
          </w:p>
        </w:tc>
        <w:tc>
          <w:tcPr>
            <w:tcW w:w="1006" w:type="dxa"/>
            <w:shd w:val="clear" w:color="auto" w:fill="auto"/>
            <w:noWrap/>
            <w:vAlign w:val="bottom"/>
            <w:hideMark/>
          </w:tcPr>
          <w:p w14:paraId="43B4DA81"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9.23</w:t>
            </w:r>
          </w:p>
        </w:tc>
        <w:tc>
          <w:tcPr>
            <w:tcW w:w="883" w:type="dxa"/>
            <w:shd w:val="clear" w:color="auto" w:fill="auto"/>
            <w:noWrap/>
            <w:vAlign w:val="bottom"/>
            <w:hideMark/>
          </w:tcPr>
          <w:p w14:paraId="0C2F55C4"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2.82</w:t>
            </w:r>
          </w:p>
        </w:tc>
        <w:tc>
          <w:tcPr>
            <w:tcW w:w="1102" w:type="dxa"/>
            <w:shd w:val="clear" w:color="auto" w:fill="auto"/>
            <w:noWrap/>
            <w:vAlign w:val="bottom"/>
            <w:hideMark/>
          </w:tcPr>
          <w:p w14:paraId="0EF9FDF3"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0.005</w:t>
            </w:r>
          </w:p>
        </w:tc>
        <w:tc>
          <w:tcPr>
            <w:tcW w:w="840" w:type="dxa"/>
            <w:shd w:val="clear" w:color="auto" w:fill="auto"/>
            <w:noWrap/>
            <w:vAlign w:val="bottom"/>
            <w:hideMark/>
          </w:tcPr>
          <w:p w14:paraId="278FFA2B"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7.93</w:t>
            </w:r>
          </w:p>
        </w:tc>
        <w:tc>
          <w:tcPr>
            <w:tcW w:w="1109" w:type="dxa"/>
            <w:shd w:val="clear" w:color="auto" w:fill="auto"/>
            <w:noWrap/>
            <w:vAlign w:val="bottom"/>
            <w:hideMark/>
          </w:tcPr>
          <w:p w14:paraId="597D0183"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44.10</w:t>
            </w:r>
          </w:p>
        </w:tc>
      </w:tr>
      <w:tr w:rsidR="00154BC7" w:rsidRPr="009E4434" w14:paraId="0D04D9F8" w14:textId="77777777" w:rsidTr="000441CC">
        <w:trPr>
          <w:trHeight w:val="20"/>
        </w:trPr>
        <w:tc>
          <w:tcPr>
            <w:tcW w:w="4077" w:type="dxa"/>
            <w:shd w:val="clear" w:color="auto" w:fill="auto"/>
            <w:vAlign w:val="bottom"/>
            <w:hideMark/>
          </w:tcPr>
          <w:p w14:paraId="1442834F"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Investments in bonds</w:t>
            </w:r>
          </w:p>
        </w:tc>
        <w:tc>
          <w:tcPr>
            <w:tcW w:w="837" w:type="dxa"/>
            <w:shd w:val="clear" w:color="auto" w:fill="auto"/>
            <w:noWrap/>
            <w:vAlign w:val="bottom"/>
            <w:hideMark/>
          </w:tcPr>
          <w:p w14:paraId="56B42346"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199.88</w:t>
            </w:r>
          </w:p>
        </w:tc>
        <w:tc>
          <w:tcPr>
            <w:tcW w:w="1006" w:type="dxa"/>
            <w:shd w:val="clear" w:color="auto" w:fill="auto"/>
            <w:noWrap/>
            <w:vAlign w:val="bottom"/>
            <w:hideMark/>
          </w:tcPr>
          <w:p w14:paraId="57BA0966"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65.57</w:t>
            </w:r>
          </w:p>
        </w:tc>
        <w:tc>
          <w:tcPr>
            <w:tcW w:w="883" w:type="dxa"/>
            <w:shd w:val="clear" w:color="auto" w:fill="auto"/>
            <w:noWrap/>
            <w:vAlign w:val="bottom"/>
            <w:hideMark/>
          </w:tcPr>
          <w:p w14:paraId="17076726"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3.05</w:t>
            </w:r>
          </w:p>
        </w:tc>
        <w:tc>
          <w:tcPr>
            <w:tcW w:w="1102" w:type="dxa"/>
            <w:shd w:val="clear" w:color="auto" w:fill="auto"/>
            <w:noWrap/>
            <w:vAlign w:val="bottom"/>
            <w:hideMark/>
          </w:tcPr>
          <w:p w14:paraId="120CCF29"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0.002</w:t>
            </w:r>
          </w:p>
        </w:tc>
        <w:tc>
          <w:tcPr>
            <w:tcW w:w="840" w:type="dxa"/>
            <w:shd w:val="clear" w:color="auto" w:fill="auto"/>
            <w:noWrap/>
            <w:vAlign w:val="bottom"/>
            <w:hideMark/>
          </w:tcPr>
          <w:p w14:paraId="10740DC5"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71.37</w:t>
            </w:r>
          </w:p>
        </w:tc>
        <w:tc>
          <w:tcPr>
            <w:tcW w:w="1109" w:type="dxa"/>
            <w:shd w:val="clear" w:color="auto" w:fill="auto"/>
            <w:noWrap/>
            <w:vAlign w:val="bottom"/>
            <w:hideMark/>
          </w:tcPr>
          <w:p w14:paraId="4F41090B"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328.39</w:t>
            </w:r>
          </w:p>
        </w:tc>
      </w:tr>
      <w:tr w:rsidR="00154BC7" w:rsidRPr="009E4434" w14:paraId="52DA41FF" w14:textId="77777777" w:rsidTr="000441CC">
        <w:trPr>
          <w:trHeight w:val="20"/>
        </w:trPr>
        <w:tc>
          <w:tcPr>
            <w:tcW w:w="4077" w:type="dxa"/>
            <w:shd w:val="clear" w:color="auto" w:fill="auto"/>
            <w:vAlign w:val="bottom"/>
            <w:hideMark/>
          </w:tcPr>
          <w:p w14:paraId="0E2AB2F3"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Investments in promissory notes</w:t>
            </w:r>
          </w:p>
        </w:tc>
        <w:tc>
          <w:tcPr>
            <w:tcW w:w="837" w:type="dxa"/>
            <w:shd w:val="clear" w:color="auto" w:fill="auto"/>
            <w:noWrap/>
            <w:vAlign w:val="bottom"/>
            <w:hideMark/>
          </w:tcPr>
          <w:p w14:paraId="171FBC11"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-16.45</w:t>
            </w:r>
          </w:p>
        </w:tc>
        <w:tc>
          <w:tcPr>
            <w:tcW w:w="1006" w:type="dxa"/>
            <w:shd w:val="clear" w:color="auto" w:fill="auto"/>
            <w:noWrap/>
            <w:vAlign w:val="bottom"/>
            <w:hideMark/>
          </w:tcPr>
          <w:p w14:paraId="377E9CF6"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7.31</w:t>
            </w:r>
          </w:p>
        </w:tc>
        <w:tc>
          <w:tcPr>
            <w:tcW w:w="883" w:type="dxa"/>
            <w:shd w:val="clear" w:color="auto" w:fill="auto"/>
            <w:noWrap/>
            <w:vAlign w:val="bottom"/>
            <w:hideMark/>
          </w:tcPr>
          <w:p w14:paraId="0F585978"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-2.25</w:t>
            </w:r>
          </w:p>
        </w:tc>
        <w:tc>
          <w:tcPr>
            <w:tcW w:w="1102" w:type="dxa"/>
            <w:shd w:val="clear" w:color="auto" w:fill="auto"/>
            <w:noWrap/>
            <w:vAlign w:val="bottom"/>
            <w:hideMark/>
          </w:tcPr>
          <w:p w14:paraId="4B6D0ABD"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0.025</w:t>
            </w:r>
          </w:p>
        </w:tc>
        <w:tc>
          <w:tcPr>
            <w:tcW w:w="840" w:type="dxa"/>
            <w:shd w:val="clear" w:color="auto" w:fill="auto"/>
            <w:noWrap/>
            <w:vAlign w:val="bottom"/>
            <w:hideMark/>
          </w:tcPr>
          <w:p w14:paraId="3141CCB4"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-30.78</w:t>
            </w:r>
          </w:p>
        </w:tc>
        <w:tc>
          <w:tcPr>
            <w:tcW w:w="1109" w:type="dxa"/>
            <w:shd w:val="clear" w:color="auto" w:fill="auto"/>
            <w:noWrap/>
            <w:vAlign w:val="bottom"/>
            <w:hideMark/>
          </w:tcPr>
          <w:p w14:paraId="4456D947"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-2.12</w:t>
            </w:r>
          </w:p>
        </w:tc>
      </w:tr>
      <w:tr w:rsidR="00154BC7" w:rsidRPr="009E4434" w14:paraId="76D42556" w14:textId="77777777" w:rsidTr="000441CC">
        <w:trPr>
          <w:trHeight w:val="20"/>
        </w:trPr>
        <w:tc>
          <w:tcPr>
            <w:tcW w:w="4077" w:type="dxa"/>
            <w:shd w:val="clear" w:color="auto" w:fill="auto"/>
            <w:vAlign w:val="bottom"/>
            <w:hideMark/>
          </w:tcPr>
          <w:p w14:paraId="1A22BF3D"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constant</w:t>
            </w:r>
          </w:p>
        </w:tc>
        <w:tc>
          <w:tcPr>
            <w:tcW w:w="837" w:type="dxa"/>
            <w:shd w:val="clear" w:color="auto" w:fill="auto"/>
            <w:noWrap/>
            <w:vAlign w:val="bottom"/>
            <w:hideMark/>
          </w:tcPr>
          <w:p w14:paraId="420F3458"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-36.10</w:t>
            </w:r>
          </w:p>
        </w:tc>
        <w:tc>
          <w:tcPr>
            <w:tcW w:w="1006" w:type="dxa"/>
            <w:shd w:val="clear" w:color="auto" w:fill="auto"/>
            <w:noWrap/>
            <w:vAlign w:val="bottom"/>
            <w:hideMark/>
          </w:tcPr>
          <w:p w14:paraId="5C57DBC0"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18.04</w:t>
            </w:r>
          </w:p>
        </w:tc>
        <w:tc>
          <w:tcPr>
            <w:tcW w:w="883" w:type="dxa"/>
            <w:shd w:val="clear" w:color="auto" w:fill="auto"/>
            <w:noWrap/>
            <w:vAlign w:val="bottom"/>
            <w:hideMark/>
          </w:tcPr>
          <w:p w14:paraId="31962F0A"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-2.00</w:t>
            </w:r>
          </w:p>
        </w:tc>
        <w:tc>
          <w:tcPr>
            <w:tcW w:w="1102" w:type="dxa"/>
            <w:shd w:val="clear" w:color="auto" w:fill="auto"/>
            <w:noWrap/>
            <w:vAlign w:val="bottom"/>
            <w:hideMark/>
          </w:tcPr>
          <w:p w14:paraId="699767C0"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0.045</w:t>
            </w:r>
          </w:p>
        </w:tc>
        <w:tc>
          <w:tcPr>
            <w:tcW w:w="840" w:type="dxa"/>
            <w:shd w:val="clear" w:color="auto" w:fill="auto"/>
            <w:noWrap/>
            <w:vAlign w:val="bottom"/>
            <w:hideMark/>
          </w:tcPr>
          <w:p w14:paraId="707417C6"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-71.46</w:t>
            </w:r>
          </w:p>
        </w:tc>
        <w:tc>
          <w:tcPr>
            <w:tcW w:w="1109" w:type="dxa"/>
            <w:shd w:val="clear" w:color="auto" w:fill="auto"/>
            <w:noWrap/>
            <w:vAlign w:val="bottom"/>
            <w:hideMark/>
          </w:tcPr>
          <w:p w14:paraId="30C0FDC4" w14:textId="77777777" w:rsidR="00D27D65" w:rsidRPr="009E4434" w:rsidRDefault="00D27D65" w:rsidP="009E4434">
            <w:pPr>
              <w:spacing w:after="0" w:line="240" w:lineRule="auto"/>
              <w:ind w:right="-1"/>
              <w:jc w:val="center"/>
              <w:rPr>
                <w:rFonts w:ascii="Times New Roman" w:eastAsia="Times New Roman" w:hAnsi="Times New Roman" w:cs="Times New Roman"/>
                <w:bCs/>
                <w:sz w:val="20"/>
                <w:szCs w:val="20"/>
              </w:rPr>
            </w:pPr>
            <w:r w:rsidRPr="009E4434">
              <w:rPr>
                <w:rFonts w:ascii="Times New Roman" w:hAnsi="Times New Roman" w:cs="Times New Roman"/>
                <w:sz w:val="20"/>
                <w:szCs w:val="20"/>
              </w:rPr>
              <w:t>-0.74</w:t>
            </w:r>
          </w:p>
        </w:tc>
      </w:tr>
    </w:tbl>
    <w:p w14:paraId="43A94BFA" w14:textId="77777777" w:rsidR="00FB6DA0" w:rsidRPr="009E4434" w:rsidRDefault="00FB6DA0" w:rsidP="004B0B40">
      <w:pPr>
        <w:spacing w:after="0" w:line="360" w:lineRule="auto"/>
        <w:ind w:right="-1"/>
        <w:jc w:val="center"/>
        <w:rPr>
          <w:rFonts w:ascii="Times New Roman" w:hAnsi="Times New Roman" w:cs="Times New Roman"/>
          <w:sz w:val="20"/>
          <w:szCs w:val="20"/>
        </w:rPr>
      </w:pPr>
      <w:r w:rsidRPr="009E4434">
        <w:rPr>
          <w:rFonts w:ascii="Times New Roman" w:hAnsi="Times New Roman" w:cs="Times New Roman"/>
          <w:sz w:val="20"/>
          <w:szCs w:val="20"/>
        </w:rPr>
        <w:t xml:space="preserve">Fig. 7 — </w:t>
      </w:r>
      <w:proofErr w:type="spellStart"/>
      <w:r w:rsidRPr="009E4434">
        <w:rPr>
          <w:rFonts w:ascii="Times New Roman" w:hAnsi="Times New Roman" w:cs="Times New Roman"/>
          <w:sz w:val="20"/>
          <w:szCs w:val="20"/>
        </w:rPr>
        <w:t>Probit</w:t>
      </w:r>
      <w:proofErr w:type="spellEnd"/>
      <w:r w:rsidRPr="009E4434">
        <w:rPr>
          <w:rFonts w:ascii="Times New Roman" w:hAnsi="Times New Roman" w:cs="Times New Roman"/>
          <w:sz w:val="20"/>
          <w:szCs w:val="20"/>
        </w:rPr>
        <w:t xml:space="preserve"> regression over the highest hierarchy, including macroeconomic indicators, for the sample with </w:t>
      </w:r>
      <m:oMath>
        <m:r>
          <w:rPr>
            <w:rFonts w:ascii="Cambria Math" w:hAnsi="Cambria Math" w:cs="Times New Roman"/>
            <w:sz w:val="20"/>
            <w:szCs w:val="20"/>
          </w:rPr>
          <m:t>p=0,8</m:t>
        </m:r>
      </m:oMath>
    </w:p>
    <w:p w14:paraId="50D499D9" w14:textId="77777777" w:rsidR="00BB476E" w:rsidRPr="00C57DFA" w:rsidRDefault="0069377E" w:rsidP="004B0B40">
      <w:p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 xml:space="preserve">As can be seen from the table, </w:t>
      </w:r>
      <w:proofErr w:type="spellStart"/>
      <w:r w:rsidR="00BB476E" w:rsidRPr="00C57DFA">
        <w:rPr>
          <w:rFonts w:ascii="Times New Roman" w:hAnsi="Times New Roman" w:cs="Times New Roman"/>
          <w:sz w:val="28"/>
          <w:szCs w:val="28"/>
        </w:rPr>
        <w:t>th</w:t>
      </w:r>
      <w:proofErr w:type="spellEnd"/>
      <w:r>
        <w:rPr>
          <w:rFonts w:ascii="Times New Roman" w:hAnsi="Times New Roman" w:cs="Times New Roman"/>
          <w:sz w:val="28"/>
          <w:szCs w:val="28"/>
          <w:lang w:val="ru-RU"/>
        </w:rPr>
        <w:t>е</w:t>
      </w:r>
      <w:r w:rsidR="00BB476E" w:rsidRPr="00C57DFA">
        <w:rPr>
          <w:rFonts w:ascii="Times New Roman" w:hAnsi="Times New Roman" w:cs="Times New Roman"/>
          <w:sz w:val="28"/>
          <w:szCs w:val="28"/>
        </w:rPr>
        <w:t xml:space="preserve"> model coefficients are a bit more meaningful than those in the respective logit</w:t>
      </w:r>
      <w:bookmarkStart w:id="4" w:name="_Toc454496781"/>
      <w:r w:rsidR="00BB476E" w:rsidRPr="00C57DFA">
        <w:rPr>
          <w:rFonts w:ascii="Times New Roman" w:hAnsi="Times New Roman" w:cs="Times New Roman"/>
          <w:sz w:val="28"/>
          <w:szCs w:val="28"/>
        </w:rPr>
        <w:t xml:space="preserve"> model.</w:t>
      </w:r>
    </w:p>
    <w:bookmarkEnd w:id="4"/>
    <w:p w14:paraId="071F067B" w14:textId="77777777" w:rsidR="00FB6DA0" w:rsidRPr="00C57DFA" w:rsidRDefault="00BC7295" w:rsidP="004B0B40">
      <w:pPr>
        <w:pStyle w:val="1"/>
        <w:spacing w:before="0" w:line="360" w:lineRule="auto"/>
        <w:ind w:right="-1"/>
        <w:rPr>
          <w:rFonts w:ascii="Times New Roman" w:hAnsi="Times New Roman" w:cs="Times New Roman"/>
          <w:b/>
          <w:color w:val="auto"/>
          <w:sz w:val="28"/>
          <w:szCs w:val="28"/>
        </w:rPr>
      </w:pPr>
      <w:r w:rsidRPr="00C57DFA">
        <w:rPr>
          <w:rFonts w:ascii="Times New Roman" w:hAnsi="Times New Roman" w:cs="Times New Roman"/>
          <w:b/>
          <w:color w:val="auto"/>
          <w:sz w:val="28"/>
          <w:szCs w:val="28"/>
        </w:rPr>
        <w:t>General model building</w:t>
      </w:r>
    </w:p>
    <w:p w14:paraId="4C485EB2" w14:textId="77777777" w:rsidR="002015E1" w:rsidRPr="00C57DFA" w:rsidRDefault="00FB6DA0" w:rsidP="004B0B40">
      <w:pPr>
        <w:spacing w:after="0" w:line="360" w:lineRule="auto"/>
        <w:ind w:right="-1"/>
        <w:jc w:val="both"/>
        <w:rPr>
          <w:rFonts w:ascii="Times New Roman" w:hAnsi="Times New Roman" w:cs="Times New Roman"/>
          <w:sz w:val="28"/>
          <w:szCs w:val="28"/>
        </w:rPr>
      </w:pPr>
      <w:r w:rsidRPr="00C57DFA">
        <w:rPr>
          <w:rFonts w:ascii="Times New Roman" w:hAnsi="Times New Roman" w:cs="Times New Roman"/>
          <w:sz w:val="28"/>
          <w:szCs w:val="28"/>
        </w:rPr>
        <w:t>The adequacy of each model will be assessed against the share of open and closed credit institutions being forecasted correctly. The bar chart in Fig. 8 shows how the prediction accuracy for open and closed banks depends on the respective a priori license withdrawal probabilities applied to samplings.</w:t>
      </w:r>
    </w:p>
    <w:p w14:paraId="0F65AD7B" w14:textId="77777777" w:rsidR="00BB33B8" w:rsidRPr="00C57DFA" w:rsidRDefault="00F66B25" w:rsidP="004B0B40">
      <w:pPr>
        <w:spacing w:after="0" w:line="360" w:lineRule="auto"/>
        <w:ind w:right="-1"/>
        <w:jc w:val="center"/>
        <w:rPr>
          <w:rFonts w:ascii="Times New Roman" w:hAnsi="Times New Roman" w:cs="Times New Roman"/>
          <w:sz w:val="28"/>
          <w:szCs w:val="28"/>
        </w:rPr>
      </w:pPr>
      <w:r w:rsidRPr="00F66B25">
        <w:rPr>
          <w:rFonts w:ascii="Times New Roman" w:hAnsi="Times New Roman" w:cs="Times New Roman"/>
          <w:noProof/>
          <w:sz w:val="28"/>
          <w:szCs w:val="28"/>
          <w:lang w:val="ru-RU" w:eastAsia="ru-RU" w:bidi="ar-SA"/>
        </w:rPr>
        <w:drawing>
          <wp:inline distT="0" distB="0" distL="0" distR="0" wp14:anchorId="7A6CCDD5" wp14:editId="3B216B2D">
            <wp:extent cx="3302000" cy="2579974"/>
            <wp:effectExtent l="0" t="0" r="0" b="0"/>
            <wp:docPr id="6" name="Рисунок 6" descr="C:\Users\Асус\Desktop\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Асус\Desktop\1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09851" cy="2586108"/>
                    </a:xfrm>
                    <a:prstGeom prst="rect">
                      <a:avLst/>
                    </a:prstGeom>
                    <a:noFill/>
                    <a:ln>
                      <a:noFill/>
                    </a:ln>
                  </pic:spPr>
                </pic:pic>
              </a:graphicData>
            </a:graphic>
          </wp:inline>
        </w:drawing>
      </w:r>
    </w:p>
    <w:p w14:paraId="4ABD00DB" w14:textId="77777777" w:rsidR="00C9339C" w:rsidRPr="009E4434" w:rsidRDefault="00C9339C" w:rsidP="004B0B40">
      <w:pPr>
        <w:spacing w:after="0" w:line="360" w:lineRule="auto"/>
        <w:ind w:right="-1"/>
        <w:jc w:val="center"/>
        <w:rPr>
          <w:rFonts w:ascii="Times New Roman" w:hAnsi="Times New Roman" w:cs="Times New Roman"/>
          <w:sz w:val="20"/>
          <w:szCs w:val="20"/>
        </w:rPr>
      </w:pPr>
      <w:r w:rsidRPr="009E4434">
        <w:rPr>
          <w:rFonts w:ascii="Times New Roman" w:hAnsi="Times New Roman" w:cs="Times New Roman"/>
          <w:sz w:val="20"/>
          <w:szCs w:val="20"/>
        </w:rPr>
        <w:t>Fig. 8 — Bar chart showing how the prediction accuracy for open and closed banks depends on a priori license withdrawal probability</w:t>
      </w:r>
    </w:p>
    <w:p w14:paraId="4FD69BBD" w14:textId="77777777" w:rsidR="002015E1" w:rsidRPr="00C57DFA" w:rsidRDefault="002015E1" w:rsidP="004B0B40">
      <w:pPr>
        <w:spacing w:after="0" w:line="360" w:lineRule="auto"/>
        <w:ind w:right="-1"/>
        <w:jc w:val="both"/>
        <w:rPr>
          <w:rFonts w:ascii="Times New Roman" w:hAnsi="Times New Roman" w:cs="Times New Roman"/>
          <w:sz w:val="28"/>
          <w:szCs w:val="28"/>
        </w:rPr>
      </w:pPr>
      <w:r w:rsidRPr="00C57DFA">
        <w:rPr>
          <w:rFonts w:ascii="Times New Roman" w:hAnsi="Times New Roman" w:cs="Times New Roman"/>
          <w:sz w:val="28"/>
          <w:szCs w:val="28"/>
        </w:rPr>
        <w:lastRenderedPageBreak/>
        <w:t>Here the conclusion to come: When the number of credit institutions with withdrawn licenses increases in the shaped sample, the models better predict banks to be closed, if compared with the models built on samples with lower license withdrawal probability.</w:t>
      </w:r>
    </w:p>
    <w:p w14:paraId="772174C1" w14:textId="77777777" w:rsidR="00B11B32" w:rsidRPr="00C57DFA" w:rsidRDefault="00BB33B8" w:rsidP="004B0B40">
      <w:pPr>
        <w:spacing w:after="0" w:line="360" w:lineRule="auto"/>
        <w:ind w:right="-1"/>
        <w:jc w:val="both"/>
        <w:rPr>
          <w:rFonts w:ascii="Times New Roman" w:hAnsi="Times New Roman" w:cs="Times New Roman"/>
          <w:sz w:val="28"/>
          <w:szCs w:val="28"/>
        </w:rPr>
      </w:pPr>
      <w:r w:rsidRPr="00C57DFA">
        <w:rPr>
          <w:rFonts w:ascii="Times New Roman" w:hAnsi="Times New Roman" w:cs="Times New Roman"/>
          <w:sz w:val="28"/>
          <w:szCs w:val="28"/>
        </w:rPr>
        <w:t>Table 1 shows the overall prediction accuracy for the respective samples with the specified a priori license withdrawal probability.</w:t>
      </w:r>
    </w:p>
    <w:p w14:paraId="5988FACF" w14:textId="77777777" w:rsidR="000D5B1E" w:rsidRPr="00C57DFA" w:rsidRDefault="000D5B1E" w:rsidP="00222039">
      <w:pPr>
        <w:spacing w:after="0" w:line="240" w:lineRule="auto"/>
        <w:ind w:right="-1"/>
        <w:jc w:val="both"/>
        <w:rPr>
          <w:rFonts w:ascii="Times New Roman" w:hAnsi="Times New Roman" w:cs="Times New Roman"/>
          <w:sz w:val="28"/>
          <w:szCs w:val="28"/>
        </w:rPr>
      </w:pPr>
    </w:p>
    <w:p w14:paraId="770ACA36" w14:textId="77777777" w:rsidR="000D5B1E" w:rsidRPr="00A840C5" w:rsidRDefault="00FB6DA0" w:rsidP="00222039">
      <w:pPr>
        <w:spacing w:after="0" w:line="240" w:lineRule="auto"/>
        <w:ind w:right="-1"/>
        <w:jc w:val="center"/>
        <w:rPr>
          <w:rFonts w:ascii="Times New Roman" w:hAnsi="Times New Roman" w:cs="Times New Roman"/>
          <w:sz w:val="20"/>
          <w:szCs w:val="20"/>
        </w:rPr>
      </w:pPr>
      <w:r w:rsidRPr="00A840C5">
        <w:rPr>
          <w:rFonts w:ascii="Times New Roman" w:hAnsi="Times New Roman" w:cs="Times New Roman"/>
          <w:sz w:val="20"/>
          <w:szCs w:val="20"/>
        </w:rPr>
        <w:t>Table 1 — Sample prediction accuracy</w:t>
      </w:r>
    </w:p>
    <w:tbl>
      <w:tblPr>
        <w:tblW w:w="9752" w:type="dxa"/>
        <w:tblInd w:w="-5" w:type="dxa"/>
        <w:tblLook w:val="04A0" w:firstRow="1" w:lastRow="0" w:firstColumn="1" w:lastColumn="0" w:noHBand="0" w:noVBand="1"/>
      </w:tblPr>
      <w:tblGrid>
        <w:gridCol w:w="1673"/>
        <w:gridCol w:w="516"/>
        <w:gridCol w:w="688"/>
        <w:gridCol w:w="687"/>
        <w:gridCol w:w="688"/>
        <w:gridCol w:w="687"/>
        <w:gridCol w:w="688"/>
        <w:gridCol w:w="687"/>
        <w:gridCol w:w="688"/>
        <w:gridCol w:w="687"/>
        <w:gridCol w:w="688"/>
        <w:gridCol w:w="687"/>
        <w:gridCol w:w="688"/>
      </w:tblGrid>
      <w:tr w:rsidR="00B11B32" w:rsidRPr="00A840C5" w14:paraId="767DACB6" w14:textId="77777777" w:rsidTr="005243A4">
        <w:trPr>
          <w:trHeight w:val="20"/>
        </w:trPr>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C72D9" w14:textId="77777777" w:rsidR="00B11B32" w:rsidRPr="00A840C5" w:rsidRDefault="008A2413" w:rsidP="00222039">
            <w:pPr>
              <w:spacing w:after="0" w:line="240" w:lineRule="auto"/>
              <w:ind w:right="-1"/>
              <w:jc w:val="both"/>
              <w:rPr>
                <w:rFonts w:ascii="Times New Roman" w:eastAsia="Times New Roman" w:hAnsi="Times New Roman" w:cs="Times New Roman"/>
                <w:iCs/>
                <w:color w:val="000000"/>
                <w:sz w:val="20"/>
                <w:szCs w:val="20"/>
              </w:rPr>
            </w:pPr>
            <w:r w:rsidRPr="00A840C5">
              <w:rPr>
                <w:rFonts w:ascii="Times New Roman" w:hAnsi="Times New Roman" w:cs="Times New Roman"/>
                <w:color w:val="000000"/>
                <w:sz w:val="20"/>
                <w:szCs w:val="20"/>
              </w:rPr>
              <w:t>License withdrawal probability</w:t>
            </w:r>
          </w:p>
        </w:tc>
        <w:tc>
          <w:tcPr>
            <w:tcW w:w="516" w:type="dxa"/>
            <w:tcBorders>
              <w:top w:val="single" w:sz="4" w:space="0" w:color="auto"/>
              <w:left w:val="nil"/>
              <w:bottom w:val="single" w:sz="4" w:space="0" w:color="auto"/>
              <w:right w:val="single" w:sz="4" w:space="0" w:color="auto"/>
            </w:tcBorders>
            <w:shd w:val="clear" w:color="auto" w:fill="auto"/>
            <w:vAlign w:val="center"/>
            <w:hideMark/>
          </w:tcPr>
          <w:p w14:paraId="36CEEB24" w14:textId="77777777" w:rsidR="00B11B32" w:rsidRPr="00A840C5" w:rsidRDefault="00B11B32" w:rsidP="00222039">
            <w:pPr>
              <w:spacing w:after="0" w:line="240" w:lineRule="auto"/>
              <w:ind w:right="-1"/>
              <w:jc w:val="both"/>
              <w:rPr>
                <w:rFonts w:ascii="Times New Roman" w:eastAsia="Times New Roman" w:hAnsi="Times New Roman" w:cs="Times New Roman"/>
                <w:color w:val="000000"/>
                <w:sz w:val="20"/>
                <w:szCs w:val="20"/>
              </w:rPr>
            </w:pPr>
            <w:r w:rsidRPr="00A840C5">
              <w:rPr>
                <w:rFonts w:ascii="Times New Roman" w:hAnsi="Times New Roman" w:cs="Times New Roman"/>
                <w:color w:val="000000"/>
                <w:sz w:val="20"/>
                <w:szCs w:val="20"/>
              </w:rPr>
              <w:t>0.1</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3B1F84BE" w14:textId="77777777" w:rsidR="00B11B32" w:rsidRPr="00A840C5" w:rsidRDefault="00B11B32" w:rsidP="00222039">
            <w:pPr>
              <w:spacing w:after="0" w:line="240" w:lineRule="auto"/>
              <w:ind w:right="-1"/>
              <w:jc w:val="both"/>
              <w:rPr>
                <w:rFonts w:ascii="Times New Roman" w:eastAsia="Times New Roman" w:hAnsi="Times New Roman" w:cs="Times New Roman"/>
                <w:color w:val="000000"/>
                <w:sz w:val="20"/>
                <w:szCs w:val="20"/>
              </w:rPr>
            </w:pPr>
            <w:r w:rsidRPr="00A840C5">
              <w:rPr>
                <w:rFonts w:ascii="Times New Roman" w:hAnsi="Times New Roman" w:cs="Times New Roman"/>
                <w:color w:val="000000"/>
                <w:sz w:val="20"/>
                <w:szCs w:val="20"/>
              </w:rPr>
              <w:t>0.15</w:t>
            </w:r>
          </w:p>
        </w:tc>
        <w:tc>
          <w:tcPr>
            <w:tcW w:w="687" w:type="dxa"/>
            <w:tcBorders>
              <w:top w:val="single" w:sz="4" w:space="0" w:color="auto"/>
              <w:left w:val="nil"/>
              <w:bottom w:val="single" w:sz="4" w:space="0" w:color="auto"/>
              <w:right w:val="single" w:sz="4" w:space="0" w:color="auto"/>
            </w:tcBorders>
            <w:shd w:val="clear" w:color="auto" w:fill="auto"/>
            <w:vAlign w:val="center"/>
            <w:hideMark/>
          </w:tcPr>
          <w:p w14:paraId="43343D7F" w14:textId="77777777" w:rsidR="00B11B32" w:rsidRPr="00A840C5" w:rsidRDefault="00B11B32" w:rsidP="00222039">
            <w:pPr>
              <w:spacing w:after="0" w:line="240" w:lineRule="auto"/>
              <w:ind w:right="-1"/>
              <w:jc w:val="both"/>
              <w:rPr>
                <w:rFonts w:ascii="Times New Roman" w:eastAsia="Times New Roman" w:hAnsi="Times New Roman" w:cs="Times New Roman"/>
                <w:color w:val="000000"/>
                <w:sz w:val="20"/>
                <w:szCs w:val="20"/>
              </w:rPr>
            </w:pPr>
            <w:r w:rsidRPr="00A840C5">
              <w:rPr>
                <w:rFonts w:ascii="Times New Roman" w:hAnsi="Times New Roman" w:cs="Times New Roman"/>
                <w:color w:val="000000"/>
                <w:sz w:val="20"/>
                <w:szCs w:val="20"/>
              </w:rPr>
              <w:t>0.2</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46280E1F" w14:textId="77777777" w:rsidR="00B11B32" w:rsidRPr="00A840C5" w:rsidRDefault="00B11B32" w:rsidP="00222039">
            <w:pPr>
              <w:spacing w:after="0" w:line="240" w:lineRule="auto"/>
              <w:ind w:right="-1"/>
              <w:jc w:val="both"/>
              <w:rPr>
                <w:rFonts w:ascii="Times New Roman" w:eastAsia="Times New Roman" w:hAnsi="Times New Roman" w:cs="Times New Roman"/>
                <w:color w:val="000000"/>
                <w:sz w:val="20"/>
                <w:szCs w:val="20"/>
              </w:rPr>
            </w:pPr>
            <w:r w:rsidRPr="00A840C5">
              <w:rPr>
                <w:rFonts w:ascii="Times New Roman" w:hAnsi="Times New Roman" w:cs="Times New Roman"/>
                <w:color w:val="000000"/>
                <w:sz w:val="20"/>
                <w:szCs w:val="20"/>
              </w:rPr>
              <w:t>0.3</w:t>
            </w:r>
          </w:p>
        </w:tc>
        <w:tc>
          <w:tcPr>
            <w:tcW w:w="687" w:type="dxa"/>
            <w:tcBorders>
              <w:top w:val="single" w:sz="4" w:space="0" w:color="auto"/>
              <w:left w:val="nil"/>
              <w:bottom w:val="single" w:sz="4" w:space="0" w:color="auto"/>
              <w:right w:val="single" w:sz="4" w:space="0" w:color="auto"/>
            </w:tcBorders>
            <w:shd w:val="clear" w:color="auto" w:fill="auto"/>
            <w:vAlign w:val="center"/>
            <w:hideMark/>
          </w:tcPr>
          <w:p w14:paraId="09B2A510" w14:textId="77777777" w:rsidR="00B11B32" w:rsidRPr="00A840C5" w:rsidRDefault="00B11B32" w:rsidP="00222039">
            <w:pPr>
              <w:spacing w:after="0" w:line="240" w:lineRule="auto"/>
              <w:ind w:right="-1"/>
              <w:jc w:val="both"/>
              <w:rPr>
                <w:rFonts w:ascii="Times New Roman" w:eastAsia="Times New Roman" w:hAnsi="Times New Roman" w:cs="Times New Roman"/>
                <w:color w:val="000000"/>
                <w:sz w:val="20"/>
                <w:szCs w:val="20"/>
              </w:rPr>
            </w:pPr>
            <w:r w:rsidRPr="00A840C5">
              <w:rPr>
                <w:rFonts w:ascii="Times New Roman" w:hAnsi="Times New Roman" w:cs="Times New Roman"/>
                <w:color w:val="000000"/>
                <w:sz w:val="20"/>
                <w:szCs w:val="20"/>
              </w:rPr>
              <w:t>0.35</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25731C93" w14:textId="77777777" w:rsidR="00B11B32" w:rsidRPr="00A840C5" w:rsidRDefault="00B11B32" w:rsidP="00222039">
            <w:pPr>
              <w:spacing w:after="0" w:line="240" w:lineRule="auto"/>
              <w:ind w:right="-1"/>
              <w:jc w:val="both"/>
              <w:rPr>
                <w:rFonts w:ascii="Times New Roman" w:eastAsia="Times New Roman" w:hAnsi="Times New Roman" w:cs="Times New Roman"/>
                <w:color w:val="000000"/>
                <w:sz w:val="20"/>
                <w:szCs w:val="20"/>
              </w:rPr>
            </w:pPr>
            <w:r w:rsidRPr="00A840C5">
              <w:rPr>
                <w:rFonts w:ascii="Times New Roman" w:hAnsi="Times New Roman" w:cs="Times New Roman"/>
                <w:color w:val="000000"/>
                <w:sz w:val="20"/>
                <w:szCs w:val="20"/>
              </w:rPr>
              <w:t>0.45</w:t>
            </w:r>
          </w:p>
        </w:tc>
        <w:tc>
          <w:tcPr>
            <w:tcW w:w="687" w:type="dxa"/>
            <w:tcBorders>
              <w:top w:val="single" w:sz="4" w:space="0" w:color="auto"/>
              <w:left w:val="nil"/>
              <w:bottom w:val="single" w:sz="4" w:space="0" w:color="auto"/>
              <w:right w:val="single" w:sz="4" w:space="0" w:color="auto"/>
            </w:tcBorders>
            <w:shd w:val="clear" w:color="auto" w:fill="auto"/>
            <w:vAlign w:val="center"/>
            <w:hideMark/>
          </w:tcPr>
          <w:p w14:paraId="4C1BEB00" w14:textId="77777777" w:rsidR="00B11B32" w:rsidRPr="00A840C5" w:rsidRDefault="00B11B32" w:rsidP="00222039">
            <w:pPr>
              <w:spacing w:after="0" w:line="240" w:lineRule="auto"/>
              <w:ind w:right="-1"/>
              <w:jc w:val="both"/>
              <w:rPr>
                <w:rFonts w:ascii="Times New Roman" w:eastAsia="Times New Roman" w:hAnsi="Times New Roman" w:cs="Times New Roman"/>
                <w:color w:val="000000"/>
                <w:sz w:val="20"/>
                <w:szCs w:val="20"/>
              </w:rPr>
            </w:pPr>
            <w:r w:rsidRPr="00A840C5">
              <w:rPr>
                <w:rFonts w:ascii="Times New Roman" w:hAnsi="Times New Roman" w:cs="Times New Roman"/>
                <w:color w:val="000000"/>
                <w:sz w:val="20"/>
                <w:szCs w:val="20"/>
              </w:rPr>
              <w:t>0.55</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6613304C" w14:textId="77777777" w:rsidR="00B11B32" w:rsidRPr="00A840C5" w:rsidRDefault="00B11B32" w:rsidP="00222039">
            <w:pPr>
              <w:spacing w:after="0" w:line="240" w:lineRule="auto"/>
              <w:ind w:right="-1"/>
              <w:jc w:val="both"/>
              <w:rPr>
                <w:rFonts w:ascii="Times New Roman" w:eastAsia="Times New Roman" w:hAnsi="Times New Roman" w:cs="Times New Roman"/>
                <w:color w:val="000000"/>
                <w:sz w:val="20"/>
                <w:szCs w:val="20"/>
              </w:rPr>
            </w:pPr>
            <w:r w:rsidRPr="00A840C5">
              <w:rPr>
                <w:rFonts w:ascii="Times New Roman" w:hAnsi="Times New Roman" w:cs="Times New Roman"/>
                <w:color w:val="000000"/>
                <w:sz w:val="20"/>
                <w:szCs w:val="20"/>
              </w:rPr>
              <w:t>0.65</w:t>
            </w:r>
          </w:p>
        </w:tc>
        <w:tc>
          <w:tcPr>
            <w:tcW w:w="687" w:type="dxa"/>
            <w:tcBorders>
              <w:top w:val="single" w:sz="4" w:space="0" w:color="auto"/>
              <w:left w:val="nil"/>
              <w:bottom w:val="single" w:sz="4" w:space="0" w:color="auto"/>
              <w:right w:val="single" w:sz="4" w:space="0" w:color="auto"/>
            </w:tcBorders>
            <w:shd w:val="clear" w:color="auto" w:fill="auto"/>
            <w:vAlign w:val="center"/>
            <w:hideMark/>
          </w:tcPr>
          <w:p w14:paraId="0930B086" w14:textId="77777777" w:rsidR="00B11B32" w:rsidRPr="00A840C5" w:rsidRDefault="00B11B32" w:rsidP="00222039">
            <w:pPr>
              <w:spacing w:after="0" w:line="240" w:lineRule="auto"/>
              <w:ind w:right="-1"/>
              <w:jc w:val="both"/>
              <w:rPr>
                <w:rFonts w:ascii="Times New Roman" w:eastAsia="Times New Roman" w:hAnsi="Times New Roman" w:cs="Times New Roman"/>
                <w:color w:val="000000"/>
                <w:sz w:val="20"/>
                <w:szCs w:val="20"/>
              </w:rPr>
            </w:pPr>
            <w:r w:rsidRPr="00A840C5">
              <w:rPr>
                <w:rFonts w:ascii="Times New Roman" w:hAnsi="Times New Roman" w:cs="Times New Roman"/>
                <w:color w:val="000000"/>
                <w:sz w:val="20"/>
                <w:szCs w:val="20"/>
              </w:rPr>
              <w:t>0.75</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2BF0C126" w14:textId="77777777" w:rsidR="00B11B32" w:rsidRPr="00A840C5" w:rsidRDefault="00B11B32" w:rsidP="00222039">
            <w:pPr>
              <w:spacing w:after="0" w:line="240" w:lineRule="auto"/>
              <w:ind w:right="-1"/>
              <w:jc w:val="both"/>
              <w:rPr>
                <w:rFonts w:ascii="Times New Roman" w:eastAsia="Times New Roman" w:hAnsi="Times New Roman" w:cs="Times New Roman"/>
                <w:color w:val="000000"/>
                <w:sz w:val="20"/>
                <w:szCs w:val="20"/>
              </w:rPr>
            </w:pPr>
            <w:r w:rsidRPr="00A840C5">
              <w:rPr>
                <w:rFonts w:ascii="Times New Roman" w:hAnsi="Times New Roman" w:cs="Times New Roman"/>
                <w:color w:val="000000"/>
                <w:sz w:val="20"/>
                <w:szCs w:val="20"/>
              </w:rPr>
              <w:t>0.8</w:t>
            </w:r>
          </w:p>
        </w:tc>
        <w:tc>
          <w:tcPr>
            <w:tcW w:w="687" w:type="dxa"/>
            <w:tcBorders>
              <w:top w:val="single" w:sz="4" w:space="0" w:color="auto"/>
              <w:left w:val="nil"/>
              <w:bottom w:val="single" w:sz="4" w:space="0" w:color="auto"/>
              <w:right w:val="single" w:sz="4" w:space="0" w:color="auto"/>
            </w:tcBorders>
            <w:shd w:val="clear" w:color="auto" w:fill="auto"/>
            <w:vAlign w:val="center"/>
            <w:hideMark/>
          </w:tcPr>
          <w:p w14:paraId="4E2E98AF" w14:textId="77777777" w:rsidR="00B11B32" w:rsidRPr="00A840C5" w:rsidRDefault="00B11B32" w:rsidP="00222039">
            <w:pPr>
              <w:spacing w:after="0" w:line="240" w:lineRule="auto"/>
              <w:ind w:right="-1"/>
              <w:jc w:val="both"/>
              <w:rPr>
                <w:rFonts w:ascii="Times New Roman" w:eastAsia="Times New Roman" w:hAnsi="Times New Roman" w:cs="Times New Roman"/>
                <w:color w:val="000000"/>
                <w:sz w:val="20"/>
                <w:szCs w:val="20"/>
              </w:rPr>
            </w:pPr>
            <w:r w:rsidRPr="00A840C5">
              <w:rPr>
                <w:rFonts w:ascii="Times New Roman" w:hAnsi="Times New Roman" w:cs="Times New Roman"/>
                <w:color w:val="000000"/>
                <w:sz w:val="20"/>
                <w:szCs w:val="20"/>
              </w:rPr>
              <w:t>0.85</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6CA44F28" w14:textId="77777777" w:rsidR="00B11B32" w:rsidRPr="00A840C5" w:rsidRDefault="00B11B32" w:rsidP="00222039">
            <w:pPr>
              <w:spacing w:after="0" w:line="240" w:lineRule="auto"/>
              <w:ind w:right="-1"/>
              <w:jc w:val="both"/>
              <w:rPr>
                <w:rFonts w:ascii="Times New Roman" w:eastAsia="Times New Roman" w:hAnsi="Times New Roman" w:cs="Times New Roman"/>
                <w:color w:val="000000"/>
                <w:sz w:val="20"/>
                <w:szCs w:val="20"/>
              </w:rPr>
            </w:pPr>
            <w:r w:rsidRPr="00A840C5">
              <w:rPr>
                <w:rFonts w:ascii="Times New Roman" w:hAnsi="Times New Roman" w:cs="Times New Roman"/>
                <w:color w:val="000000"/>
                <w:sz w:val="20"/>
                <w:szCs w:val="20"/>
              </w:rPr>
              <w:t>0.9</w:t>
            </w:r>
          </w:p>
        </w:tc>
      </w:tr>
      <w:tr w:rsidR="00B11B32" w:rsidRPr="00A840C5" w14:paraId="3D6D047B" w14:textId="77777777" w:rsidTr="005243A4">
        <w:trPr>
          <w:trHeight w:val="20"/>
        </w:trPr>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7B3A2" w14:textId="77777777" w:rsidR="00B11B32" w:rsidRPr="00A840C5" w:rsidRDefault="00B11B32" w:rsidP="00222039">
            <w:pPr>
              <w:spacing w:after="0" w:line="240" w:lineRule="auto"/>
              <w:ind w:right="-1"/>
              <w:jc w:val="both"/>
              <w:rPr>
                <w:rFonts w:ascii="Times New Roman" w:eastAsia="Times New Roman" w:hAnsi="Times New Roman" w:cs="Times New Roman"/>
                <w:iCs/>
                <w:color w:val="000000"/>
                <w:sz w:val="20"/>
                <w:szCs w:val="20"/>
              </w:rPr>
            </w:pPr>
            <w:r w:rsidRPr="00A840C5">
              <w:rPr>
                <w:rFonts w:ascii="Times New Roman" w:hAnsi="Times New Roman" w:cs="Times New Roman"/>
                <w:color w:val="000000"/>
                <w:sz w:val="20"/>
                <w:szCs w:val="20"/>
              </w:rPr>
              <w:t>Overall accuracy</w:t>
            </w:r>
          </w:p>
        </w:tc>
        <w:tc>
          <w:tcPr>
            <w:tcW w:w="516" w:type="dxa"/>
            <w:tcBorders>
              <w:top w:val="single" w:sz="4" w:space="0" w:color="auto"/>
              <w:left w:val="nil"/>
              <w:bottom w:val="single" w:sz="4" w:space="0" w:color="auto"/>
              <w:right w:val="single" w:sz="4" w:space="0" w:color="auto"/>
            </w:tcBorders>
            <w:shd w:val="clear" w:color="auto" w:fill="auto"/>
            <w:vAlign w:val="center"/>
            <w:hideMark/>
          </w:tcPr>
          <w:p w14:paraId="15932EE3" w14:textId="77777777" w:rsidR="00B11B32" w:rsidRPr="00A840C5" w:rsidRDefault="00B11B32" w:rsidP="00222039">
            <w:pPr>
              <w:spacing w:after="0" w:line="240" w:lineRule="auto"/>
              <w:ind w:right="-1"/>
              <w:jc w:val="both"/>
              <w:rPr>
                <w:rFonts w:ascii="Times New Roman" w:eastAsia="Times New Roman" w:hAnsi="Times New Roman" w:cs="Times New Roman"/>
                <w:color w:val="000000"/>
                <w:sz w:val="20"/>
                <w:szCs w:val="20"/>
              </w:rPr>
            </w:pPr>
            <w:r w:rsidRPr="00A840C5">
              <w:rPr>
                <w:rFonts w:ascii="Times New Roman" w:hAnsi="Times New Roman" w:cs="Times New Roman"/>
                <w:color w:val="000000"/>
                <w:sz w:val="20"/>
                <w:szCs w:val="20"/>
              </w:rPr>
              <w:t>0.8</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4A7A768F" w14:textId="77777777" w:rsidR="00B11B32" w:rsidRPr="00A840C5" w:rsidRDefault="00B11B32" w:rsidP="00222039">
            <w:pPr>
              <w:spacing w:after="0" w:line="240" w:lineRule="auto"/>
              <w:ind w:right="-1"/>
              <w:jc w:val="both"/>
              <w:rPr>
                <w:rFonts w:ascii="Times New Roman" w:eastAsia="Times New Roman" w:hAnsi="Times New Roman" w:cs="Times New Roman"/>
                <w:color w:val="000000"/>
                <w:sz w:val="20"/>
                <w:szCs w:val="20"/>
              </w:rPr>
            </w:pPr>
            <w:r w:rsidRPr="00A840C5">
              <w:rPr>
                <w:rFonts w:ascii="Times New Roman" w:hAnsi="Times New Roman" w:cs="Times New Roman"/>
                <w:color w:val="000000"/>
                <w:sz w:val="20"/>
                <w:szCs w:val="20"/>
              </w:rPr>
              <w:t>0.86</w:t>
            </w:r>
          </w:p>
        </w:tc>
        <w:tc>
          <w:tcPr>
            <w:tcW w:w="687" w:type="dxa"/>
            <w:tcBorders>
              <w:top w:val="single" w:sz="4" w:space="0" w:color="auto"/>
              <w:left w:val="nil"/>
              <w:bottom w:val="single" w:sz="4" w:space="0" w:color="auto"/>
              <w:right w:val="single" w:sz="4" w:space="0" w:color="auto"/>
            </w:tcBorders>
            <w:shd w:val="clear" w:color="auto" w:fill="auto"/>
            <w:vAlign w:val="center"/>
            <w:hideMark/>
          </w:tcPr>
          <w:p w14:paraId="57231959" w14:textId="77777777" w:rsidR="00B11B32" w:rsidRPr="00A840C5" w:rsidRDefault="00B11B32" w:rsidP="00222039">
            <w:pPr>
              <w:spacing w:after="0" w:line="240" w:lineRule="auto"/>
              <w:ind w:right="-1"/>
              <w:jc w:val="both"/>
              <w:rPr>
                <w:rFonts w:ascii="Times New Roman" w:eastAsia="Times New Roman" w:hAnsi="Times New Roman" w:cs="Times New Roman"/>
                <w:color w:val="000000"/>
                <w:sz w:val="20"/>
                <w:szCs w:val="20"/>
              </w:rPr>
            </w:pPr>
            <w:r w:rsidRPr="00A840C5">
              <w:rPr>
                <w:rFonts w:ascii="Times New Roman" w:hAnsi="Times New Roman" w:cs="Times New Roman"/>
                <w:color w:val="000000"/>
                <w:sz w:val="20"/>
                <w:szCs w:val="20"/>
              </w:rPr>
              <w:t>0.87</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78905D85" w14:textId="77777777" w:rsidR="00B11B32" w:rsidRPr="00A840C5" w:rsidRDefault="00B11B32" w:rsidP="00222039">
            <w:pPr>
              <w:spacing w:after="0" w:line="240" w:lineRule="auto"/>
              <w:ind w:right="-1"/>
              <w:jc w:val="both"/>
              <w:rPr>
                <w:rFonts w:ascii="Times New Roman" w:eastAsia="Times New Roman" w:hAnsi="Times New Roman" w:cs="Times New Roman"/>
                <w:color w:val="000000"/>
                <w:sz w:val="20"/>
                <w:szCs w:val="20"/>
              </w:rPr>
            </w:pPr>
            <w:r w:rsidRPr="00A840C5">
              <w:rPr>
                <w:rFonts w:ascii="Times New Roman" w:hAnsi="Times New Roman" w:cs="Times New Roman"/>
                <w:color w:val="000000"/>
                <w:sz w:val="20"/>
                <w:szCs w:val="20"/>
              </w:rPr>
              <w:t>0.84</w:t>
            </w:r>
          </w:p>
        </w:tc>
        <w:tc>
          <w:tcPr>
            <w:tcW w:w="687" w:type="dxa"/>
            <w:tcBorders>
              <w:top w:val="single" w:sz="4" w:space="0" w:color="auto"/>
              <w:left w:val="nil"/>
              <w:bottom w:val="single" w:sz="4" w:space="0" w:color="auto"/>
              <w:right w:val="single" w:sz="4" w:space="0" w:color="auto"/>
            </w:tcBorders>
            <w:shd w:val="clear" w:color="auto" w:fill="auto"/>
            <w:vAlign w:val="center"/>
            <w:hideMark/>
          </w:tcPr>
          <w:p w14:paraId="5560B0A0" w14:textId="77777777" w:rsidR="00B11B32" w:rsidRPr="00A840C5" w:rsidRDefault="00B11B32" w:rsidP="00222039">
            <w:pPr>
              <w:spacing w:after="0" w:line="240" w:lineRule="auto"/>
              <w:ind w:right="-1"/>
              <w:jc w:val="both"/>
              <w:rPr>
                <w:rFonts w:ascii="Times New Roman" w:eastAsia="Times New Roman" w:hAnsi="Times New Roman" w:cs="Times New Roman"/>
                <w:color w:val="000000"/>
                <w:sz w:val="20"/>
                <w:szCs w:val="20"/>
              </w:rPr>
            </w:pPr>
            <w:r w:rsidRPr="00A840C5">
              <w:rPr>
                <w:rFonts w:ascii="Times New Roman" w:hAnsi="Times New Roman" w:cs="Times New Roman"/>
                <w:color w:val="000000"/>
                <w:sz w:val="20"/>
                <w:szCs w:val="20"/>
              </w:rPr>
              <w:t>0.84</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7964C6F5" w14:textId="77777777" w:rsidR="00B11B32" w:rsidRPr="00A840C5" w:rsidRDefault="00B11B32" w:rsidP="00222039">
            <w:pPr>
              <w:spacing w:after="0" w:line="240" w:lineRule="auto"/>
              <w:ind w:right="-1"/>
              <w:jc w:val="both"/>
              <w:rPr>
                <w:rFonts w:ascii="Times New Roman" w:eastAsia="Times New Roman" w:hAnsi="Times New Roman" w:cs="Times New Roman"/>
                <w:color w:val="000000"/>
                <w:sz w:val="20"/>
                <w:szCs w:val="20"/>
              </w:rPr>
            </w:pPr>
            <w:r w:rsidRPr="00A840C5">
              <w:rPr>
                <w:rFonts w:ascii="Times New Roman" w:hAnsi="Times New Roman" w:cs="Times New Roman"/>
                <w:color w:val="000000"/>
                <w:sz w:val="20"/>
                <w:szCs w:val="20"/>
              </w:rPr>
              <w:t>0.82</w:t>
            </w:r>
          </w:p>
        </w:tc>
        <w:tc>
          <w:tcPr>
            <w:tcW w:w="687" w:type="dxa"/>
            <w:tcBorders>
              <w:top w:val="single" w:sz="4" w:space="0" w:color="auto"/>
              <w:left w:val="nil"/>
              <w:bottom w:val="single" w:sz="4" w:space="0" w:color="auto"/>
              <w:right w:val="single" w:sz="4" w:space="0" w:color="auto"/>
            </w:tcBorders>
            <w:shd w:val="clear" w:color="auto" w:fill="auto"/>
            <w:vAlign w:val="center"/>
            <w:hideMark/>
          </w:tcPr>
          <w:p w14:paraId="2A31A73B" w14:textId="77777777" w:rsidR="00B11B32" w:rsidRPr="00A840C5" w:rsidRDefault="00B11B32" w:rsidP="00222039">
            <w:pPr>
              <w:spacing w:after="0" w:line="240" w:lineRule="auto"/>
              <w:ind w:right="-1"/>
              <w:jc w:val="both"/>
              <w:rPr>
                <w:rFonts w:ascii="Times New Roman" w:eastAsia="Times New Roman" w:hAnsi="Times New Roman" w:cs="Times New Roman"/>
                <w:color w:val="000000"/>
                <w:sz w:val="20"/>
                <w:szCs w:val="20"/>
              </w:rPr>
            </w:pPr>
            <w:r w:rsidRPr="00A840C5">
              <w:rPr>
                <w:rFonts w:ascii="Times New Roman" w:hAnsi="Times New Roman" w:cs="Times New Roman"/>
                <w:color w:val="000000"/>
                <w:sz w:val="20"/>
                <w:szCs w:val="20"/>
              </w:rPr>
              <w:t>0.21</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4DE95095" w14:textId="77777777" w:rsidR="00B11B32" w:rsidRPr="00A840C5" w:rsidRDefault="00B11B32" w:rsidP="00222039">
            <w:pPr>
              <w:spacing w:after="0" w:line="240" w:lineRule="auto"/>
              <w:ind w:right="-1"/>
              <w:jc w:val="both"/>
              <w:rPr>
                <w:rFonts w:ascii="Times New Roman" w:eastAsia="Times New Roman" w:hAnsi="Times New Roman" w:cs="Times New Roman"/>
                <w:color w:val="000000"/>
                <w:sz w:val="20"/>
                <w:szCs w:val="20"/>
              </w:rPr>
            </w:pPr>
            <w:r w:rsidRPr="00A840C5">
              <w:rPr>
                <w:rFonts w:ascii="Times New Roman" w:hAnsi="Times New Roman" w:cs="Times New Roman"/>
                <w:color w:val="000000"/>
                <w:sz w:val="20"/>
                <w:szCs w:val="20"/>
              </w:rPr>
              <w:t>0.59</w:t>
            </w:r>
          </w:p>
        </w:tc>
        <w:tc>
          <w:tcPr>
            <w:tcW w:w="687" w:type="dxa"/>
            <w:tcBorders>
              <w:top w:val="single" w:sz="4" w:space="0" w:color="auto"/>
              <w:left w:val="nil"/>
              <w:bottom w:val="single" w:sz="4" w:space="0" w:color="auto"/>
              <w:right w:val="single" w:sz="4" w:space="0" w:color="auto"/>
            </w:tcBorders>
            <w:shd w:val="clear" w:color="auto" w:fill="auto"/>
            <w:vAlign w:val="center"/>
            <w:hideMark/>
          </w:tcPr>
          <w:p w14:paraId="0AC54F48" w14:textId="77777777" w:rsidR="00B11B32" w:rsidRPr="00A840C5" w:rsidRDefault="00B11B32" w:rsidP="00222039">
            <w:pPr>
              <w:spacing w:after="0" w:line="240" w:lineRule="auto"/>
              <w:ind w:right="-1"/>
              <w:jc w:val="both"/>
              <w:rPr>
                <w:rFonts w:ascii="Times New Roman" w:eastAsia="Times New Roman" w:hAnsi="Times New Roman" w:cs="Times New Roman"/>
                <w:color w:val="000000"/>
                <w:sz w:val="20"/>
                <w:szCs w:val="20"/>
              </w:rPr>
            </w:pPr>
            <w:r w:rsidRPr="00A840C5">
              <w:rPr>
                <w:rFonts w:ascii="Times New Roman" w:hAnsi="Times New Roman" w:cs="Times New Roman"/>
                <w:color w:val="000000"/>
                <w:sz w:val="20"/>
                <w:szCs w:val="20"/>
              </w:rPr>
              <w:t>0.49</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4E7F26E4" w14:textId="77777777" w:rsidR="00B11B32" w:rsidRPr="00A840C5" w:rsidRDefault="00B11B32" w:rsidP="00222039">
            <w:pPr>
              <w:spacing w:after="0" w:line="240" w:lineRule="auto"/>
              <w:ind w:right="-1"/>
              <w:jc w:val="both"/>
              <w:rPr>
                <w:rFonts w:ascii="Times New Roman" w:eastAsia="Times New Roman" w:hAnsi="Times New Roman" w:cs="Times New Roman"/>
                <w:color w:val="000000"/>
                <w:sz w:val="20"/>
                <w:szCs w:val="20"/>
              </w:rPr>
            </w:pPr>
            <w:r w:rsidRPr="00A840C5">
              <w:rPr>
                <w:rFonts w:ascii="Times New Roman" w:hAnsi="Times New Roman" w:cs="Times New Roman"/>
                <w:color w:val="000000"/>
                <w:sz w:val="20"/>
                <w:szCs w:val="20"/>
              </w:rPr>
              <w:t>0.27</w:t>
            </w:r>
          </w:p>
        </w:tc>
        <w:tc>
          <w:tcPr>
            <w:tcW w:w="687" w:type="dxa"/>
            <w:tcBorders>
              <w:top w:val="single" w:sz="4" w:space="0" w:color="auto"/>
              <w:left w:val="nil"/>
              <w:bottom w:val="single" w:sz="4" w:space="0" w:color="auto"/>
              <w:right w:val="single" w:sz="4" w:space="0" w:color="auto"/>
            </w:tcBorders>
            <w:shd w:val="clear" w:color="auto" w:fill="auto"/>
            <w:vAlign w:val="center"/>
            <w:hideMark/>
          </w:tcPr>
          <w:p w14:paraId="7F03D955" w14:textId="77777777" w:rsidR="00B11B32" w:rsidRPr="00A840C5" w:rsidRDefault="00B11B32" w:rsidP="00222039">
            <w:pPr>
              <w:spacing w:after="0" w:line="240" w:lineRule="auto"/>
              <w:ind w:right="-1"/>
              <w:jc w:val="both"/>
              <w:rPr>
                <w:rFonts w:ascii="Times New Roman" w:eastAsia="Times New Roman" w:hAnsi="Times New Roman" w:cs="Times New Roman"/>
                <w:color w:val="000000"/>
                <w:sz w:val="20"/>
                <w:szCs w:val="20"/>
              </w:rPr>
            </w:pPr>
            <w:r w:rsidRPr="00A840C5">
              <w:rPr>
                <w:rFonts w:ascii="Times New Roman" w:hAnsi="Times New Roman" w:cs="Times New Roman"/>
                <w:color w:val="000000"/>
                <w:sz w:val="20"/>
                <w:szCs w:val="20"/>
              </w:rPr>
              <w:t>0.26</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51B59048" w14:textId="77777777" w:rsidR="00B11B32" w:rsidRPr="00A840C5" w:rsidRDefault="00B11B32" w:rsidP="00222039">
            <w:pPr>
              <w:spacing w:after="0" w:line="240" w:lineRule="auto"/>
              <w:ind w:right="-1"/>
              <w:jc w:val="both"/>
              <w:rPr>
                <w:rFonts w:ascii="Times New Roman" w:eastAsia="Times New Roman" w:hAnsi="Times New Roman" w:cs="Times New Roman"/>
                <w:color w:val="000000"/>
                <w:sz w:val="20"/>
                <w:szCs w:val="20"/>
              </w:rPr>
            </w:pPr>
            <w:r w:rsidRPr="00A840C5">
              <w:rPr>
                <w:rFonts w:ascii="Times New Roman" w:hAnsi="Times New Roman" w:cs="Times New Roman"/>
                <w:color w:val="000000"/>
                <w:sz w:val="20"/>
                <w:szCs w:val="20"/>
              </w:rPr>
              <w:t>0.24</w:t>
            </w:r>
          </w:p>
        </w:tc>
      </w:tr>
    </w:tbl>
    <w:p w14:paraId="1A51B2DC" w14:textId="77777777" w:rsidR="00A840C5" w:rsidRDefault="00A840C5" w:rsidP="00222039">
      <w:pPr>
        <w:spacing w:before="240" w:after="0" w:line="240" w:lineRule="auto"/>
        <w:ind w:right="-1"/>
        <w:jc w:val="both"/>
        <w:rPr>
          <w:rFonts w:ascii="Times New Roman" w:hAnsi="Times New Roman" w:cs="Times New Roman"/>
          <w:sz w:val="28"/>
          <w:szCs w:val="28"/>
        </w:rPr>
      </w:pPr>
    </w:p>
    <w:p w14:paraId="4B476309" w14:textId="77777777" w:rsidR="00FB6DA0" w:rsidRPr="00C57DFA" w:rsidRDefault="00BC7295" w:rsidP="004B0B40">
      <w:pPr>
        <w:spacing w:before="240" w:after="0" w:line="360" w:lineRule="auto"/>
        <w:ind w:right="-1"/>
        <w:jc w:val="both"/>
        <w:rPr>
          <w:rFonts w:ascii="Times New Roman" w:hAnsi="Times New Roman" w:cs="Times New Roman"/>
          <w:sz w:val="28"/>
          <w:szCs w:val="28"/>
        </w:rPr>
      </w:pPr>
      <w:r w:rsidRPr="00C57DFA">
        <w:rPr>
          <w:rFonts w:ascii="Times New Roman" w:hAnsi="Times New Roman" w:cs="Times New Roman"/>
          <w:sz w:val="28"/>
          <w:szCs w:val="28"/>
        </w:rPr>
        <w:t>Thus, modeling powered by stratified samples returned prediction models of higher quality.</w:t>
      </w:r>
    </w:p>
    <w:p w14:paraId="0CAF2431" w14:textId="77777777" w:rsidR="005243A4" w:rsidRPr="00C57DFA" w:rsidRDefault="00231D93" w:rsidP="004B0B40">
      <w:pPr>
        <w:spacing w:after="0" w:line="360" w:lineRule="auto"/>
        <w:ind w:right="-1"/>
        <w:jc w:val="both"/>
        <w:rPr>
          <w:rFonts w:ascii="Times New Roman" w:hAnsi="Times New Roman" w:cs="Times New Roman"/>
          <w:sz w:val="28"/>
          <w:szCs w:val="28"/>
        </w:rPr>
      </w:pPr>
      <w:r w:rsidRPr="00C57DFA">
        <w:rPr>
          <w:rFonts w:ascii="Times New Roman" w:hAnsi="Times New Roman" w:cs="Times New Roman"/>
          <w:sz w:val="28"/>
          <w:szCs w:val="28"/>
        </w:rPr>
        <w:t xml:space="preserve">The final decision-making may leverage a so-called general model, which accumulates the results obtained in models built. </w:t>
      </w:r>
    </w:p>
    <w:p w14:paraId="360C3010" w14:textId="77777777" w:rsidR="002015E1" w:rsidRPr="00C57DFA" w:rsidRDefault="002015E1" w:rsidP="004B0B40">
      <w:pPr>
        <w:spacing w:after="0" w:line="360" w:lineRule="auto"/>
        <w:ind w:right="-1"/>
        <w:jc w:val="both"/>
        <w:rPr>
          <w:rFonts w:ascii="Times New Roman" w:hAnsi="Times New Roman" w:cs="Times New Roman"/>
          <w:sz w:val="28"/>
          <w:szCs w:val="28"/>
        </w:rPr>
      </w:pPr>
      <w:r w:rsidRPr="00C57DFA">
        <w:rPr>
          <w:rFonts w:ascii="Times New Roman" w:hAnsi="Times New Roman" w:cs="Times New Roman"/>
          <w:sz w:val="28"/>
          <w:szCs w:val="28"/>
        </w:rPr>
        <w:t>General model construction comprises the following stages (Fig. 9):</w:t>
      </w:r>
    </w:p>
    <w:p w14:paraId="0C9C9B80" w14:textId="77777777" w:rsidR="002015E1" w:rsidRPr="00C57DFA" w:rsidRDefault="00231D93" w:rsidP="004B0B40">
      <w:pPr>
        <w:pStyle w:val="a3"/>
        <w:numPr>
          <w:ilvl w:val="0"/>
          <w:numId w:val="9"/>
        </w:numPr>
        <w:spacing w:after="0" w:line="360" w:lineRule="auto"/>
        <w:ind w:left="709" w:right="-1" w:hanging="709"/>
        <w:jc w:val="both"/>
        <w:rPr>
          <w:rFonts w:ascii="Times New Roman" w:hAnsi="Times New Roman" w:cs="Times New Roman"/>
          <w:sz w:val="28"/>
          <w:szCs w:val="28"/>
        </w:rPr>
      </w:pPr>
      <w:r w:rsidRPr="00C57DFA">
        <w:rPr>
          <w:rFonts w:ascii="Times New Roman" w:hAnsi="Times New Roman" w:cs="Times New Roman"/>
          <w:sz w:val="28"/>
          <w:szCs w:val="28"/>
        </w:rPr>
        <w:t>Generate stratified samples with different license withdrawal probability</w:t>
      </w:r>
    </w:p>
    <w:p w14:paraId="6F062E20" w14:textId="77777777" w:rsidR="008A53CD" w:rsidRPr="00C57DFA" w:rsidRDefault="00954167" w:rsidP="004B0B40">
      <w:pPr>
        <w:pStyle w:val="a3"/>
        <w:numPr>
          <w:ilvl w:val="0"/>
          <w:numId w:val="9"/>
        </w:numPr>
        <w:spacing w:after="0" w:line="360" w:lineRule="auto"/>
        <w:ind w:left="709" w:right="-1" w:hanging="709"/>
        <w:jc w:val="both"/>
        <w:rPr>
          <w:rFonts w:ascii="Times New Roman" w:hAnsi="Times New Roman" w:cs="Times New Roman"/>
          <w:sz w:val="28"/>
          <w:szCs w:val="28"/>
        </w:rPr>
      </w:pPr>
      <w:r w:rsidRPr="00C57DFA">
        <w:rPr>
          <w:rFonts w:ascii="Times New Roman" w:hAnsi="Times New Roman" w:cs="Times New Roman"/>
          <w:sz w:val="28"/>
          <w:szCs w:val="28"/>
        </w:rPr>
        <w:t xml:space="preserve">Build sets of models on each sample (logit regression over the lowest hierarchy, including macroeconomic indicators; logit regression over aggregated indicators, including macroeconomic indicators; </w:t>
      </w:r>
      <w:proofErr w:type="spellStart"/>
      <w:r w:rsidRPr="00C57DFA">
        <w:rPr>
          <w:rFonts w:ascii="Times New Roman" w:hAnsi="Times New Roman" w:cs="Times New Roman"/>
          <w:sz w:val="28"/>
          <w:szCs w:val="28"/>
        </w:rPr>
        <w:t>probit</w:t>
      </w:r>
      <w:proofErr w:type="spellEnd"/>
      <w:r w:rsidRPr="00C57DFA">
        <w:rPr>
          <w:rFonts w:ascii="Times New Roman" w:hAnsi="Times New Roman" w:cs="Times New Roman"/>
          <w:sz w:val="28"/>
          <w:szCs w:val="28"/>
        </w:rPr>
        <w:t xml:space="preserve"> regression over the lowest hierarchy, including macroeconomic indicators; </w:t>
      </w:r>
      <w:proofErr w:type="spellStart"/>
      <w:r w:rsidRPr="00C57DFA">
        <w:rPr>
          <w:rFonts w:ascii="Times New Roman" w:hAnsi="Times New Roman" w:cs="Times New Roman"/>
          <w:sz w:val="28"/>
          <w:szCs w:val="28"/>
        </w:rPr>
        <w:t>probit</w:t>
      </w:r>
      <w:proofErr w:type="spellEnd"/>
      <w:r w:rsidRPr="00C57DFA">
        <w:rPr>
          <w:rFonts w:ascii="Times New Roman" w:hAnsi="Times New Roman" w:cs="Times New Roman"/>
          <w:sz w:val="28"/>
          <w:szCs w:val="28"/>
        </w:rPr>
        <w:t xml:space="preserve"> regression over aggregated indicators, including macroeconomic indicators)</w:t>
      </w:r>
    </w:p>
    <w:p w14:paraId="5B247D68" w14:textId="77777777" w:rsidR="008A53CD" w:rsidRPr="00C57DFA" w:rsidRDefault="008A53CD" w:rsidP="004B0B40">
      <w:pPr>
        <w:pStyle w:val="a3"/>
        <w:numPr>
          <w:ilvl w:val="0"/>
          <w:numId w:val="9"/>
        </w:numPr>
        <w:spacing w:after="0" w:line="360" w:lineRule="auto"/>
        <w:ind w:left="709" w:right="-1" w:hanging="709"/>
        <w:jc w:val="both"/>
        <w:rPr>
          <w:rFonts w:ascii="Times New Roman" w:hAnsi="Times New Roman" w:cs="Times New Roman"/>
          <w:sz w:val="28"/>
          <w:szCs w:val="28"/>
        </w:rPr>
      </w:pPr>
      <w:r w:rsidRPr="00C57DFA">
        <w:rPr>
          <w:rFonts w:ascii="Times New Roman" w:hAnsi="Times New Roman" w:cs="Times New Roman"/>
          <w:sz w:val="28"/>
          <w:szCs w:val="28"/>
        </w:rPr>
        <w:t>Create a general model by simple voting</w:t>
      </w:r>
    </w:p>
    <w:p w14:paraId="21EBDB52" w14:textId="77777777" w:rsidR="002015E1" w:rsidRPr="00C57DFA" w:rsidRDefault="00A840C5" w:rsidP="004B0B40">
      <w:pPr>
        <w:spacing w:after="0" w:line="360" w:lineRule="auto"/>
        <w:ind w:right="-1"/>
        <w:jc w:val="center"/>
        <w:rPr>
          <w:rFonts w:ascii="Times New Roman" w:hAnsi="Times New Roman" w:cs="Times New Roman"/>
          <w:sz w:val="28"/>
          <w:szCs w:val="28"/>
        </w:rPr>
      </w:pPr>
      <w:r w:rsidRPr="00A840C5">
        <w:rPr>
          <w:rFonts w:ascii="Times New Roman" w:hAnsi="Times New Roman" w:cs="Times New Roman"/>
          <w:noProof/>
          <w:sz w:val="28"/>
          <w:szCs w:val="28"/>
          <w:lang w:val="ru-RU" w:eastAsia="ru-RU" w:bidi="ar-SA"/>
        </w:rPr>
        <w:lastRenderedPageBreak/>
        <w:drawing>
          <wp:inline distT="0" distB="0" distL="0" distR="0" wp14:anchorId="0C196E80" wp14:editId="46B0CD1C">
            <wp:extent cx="6120130" cy="2862338"/>
            <wp:effectExtent l="0" t="0" r="0" b="0"/>
            <wp:docPr id="2" name="Рисунок 2" descr="C:\Users\Асус\Desktop\Новый точечн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Асус\Desktop\Новый точечный рисунок.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2862338"/>
                    </a:xfrm>
                    <a:prstGeom prst="rect">
                      <a:avLst/>
                    </a:prstGeom>
                    <a:noFill/>
                    <a:ln>
                      <a:noFill/>
                    </a:ln>
                  </pic:spPr>
                </pic:pic>
              </a:graphicData>
            </a:graphic>
          </wp:inline>
        </w:drawing>
      </w:r>
    </w:p>
    <w:p w14:paraId="704998C6" w14:textId="77777777" w:rsidR="002015E1" w:rsidRPr="00A840C5" w:rsidRDefault="002015E1" w:rsidP="004B0B40">
      <w:pPr>
        <w:spacing w:after="0" w:line="360" w:lineRule="auto"/>
        <w:ind w:right="-1"/>
        <w:jc w:val="center"/>
        <w:rPr>
          <w:rFonts w:ascii="Times New Roman" w:hAnsi="Times New Roman" w:cs="Times New Roman"/>
          <w:sz w:val="20"/>
          <w:szCs w:val="20"/>
        </w:rPr>
      </w:pPr>
      <w:r w:rsidRPr="00A840C5">
        <w:rPr>
          <w:rFonts w:ascii="Times New Roman" w:hAnsi="Times New Roman" w:cs="Times New Roman"/>
          <w:sz w:val="20"/>
          <w:szCs w:val="20"/>
        </w:rPr>
        <w:t>Fig. 9 — General model construction</w:t>
      </w:r>
    </w:p>
    <w:p w14:paraId="5276E8C7" w14:textId="77777777" w:rsidR="00F66B25" w:rsidRDefault="00F66B25" w:rsidP="00A840C5">
      <w:pPr>
        <w:spacing w:after="0" w:line="240" w:lineRule="auto"/>
        <w:ind w:right="-1"/>
        <w:jc w:val="center"/>
        <w:rPr>
          <w:rFonts w:ascii="Times New Roman" w:hAnsi="Times New Roman" w:cs="Times New Roman"/>
          <w:sz w:val="20"/>
          <w:szCs w:val="20"/>
        </w:rPr>
      </w:pPr>
    </w:p>
    <w:p w14:paraId="36CCF615" w14:textId="77777777" w:rsidR="00FB6DA0" w:rsidRPr="00A840C5" w:rsidRDefault="00FB6DA0" w:rsidP="00A840C5">
      <w:pPr>
        <w:spacing w:after="0" w:line="240" w:lineRule="auto"/>
        <w:ind w:right="-1"/>
        <w:jc w:val="center"/>
        <w:rPr>
          <w:rFonts w:ascii="Times New Roman" w:hAnsi="Times New Roman" w:cs="Times New Roman"/>
          <w:sz w:val="20"/>
          <w:szCs w:val="20"/>
        </w:rPr>
      </w:pPr>
      <w:r w:rsidRPr="00A840C5">
        <w:rPr>
          <w:rFonts w:ascii="Times New Roman" w:hAnsi="Times New Roman" w:cs="Times New Roman"/>
          <w:sz w:val="20"/>
          <w:szCs w:val="20"/>
        </w:rPr>
        <w:t>Table 2 — Forecast accuracy of the general model</w:t>
      </w:r>
    </w:p>
    <w:tbl>
      <w:tblPr>
        <w:tblStyle w:val="a4"/>
        <w:tblW w:w="0" w:type="auto"/>
        <w:tblLook w:val="04A0" w:firstRow="1" w:lastRow="0" w:firstColumn="1" w:lastColumn="0" w:noHBand="0" w:noVBand="1"/>
      </w:tblPr>
      <w:tblGrid>
        <w:gridCol w:w="1925"/>
        <w:gridCol w:w="1921"/>
        <w:gridCol w:w="1915"/>
        <w:gridCol w:w="1916"/>
        <w:gridCol w:w="1899"/>
      </w:tblGrid>
      <w:tr w:rsidR="00FB6DA0" w:rsidRPr="00A840C5" w14:paraId="457A0BEC" w14:textId="77777777" w:rsidTr="00354D31">
        <w:trPr>
          <w:trHeight w:val="20"/>
        </w:trPr>
        <w:tc>
          <w:tcPr>
            <w:tcW w:w="3841" w:type="dxa"/>
            <w:gridSpan w:val="2"/>
            <w:vMerge w:val="restart"/>
          </w:tcPr>
          <w:p w14:paraId="70094AA9" w14:textId="77777777" w:rsidR="00FB6DA0" w:rsidRPr="00A840C5" w:rsidRDefault="00FB6DA0" w:rsidP="00A840C5">
            <w:pPr>
              <w:spacing w:after="0" w:line="240" w:lineRule="auto"/>
              <w:ind w:right="-1"/>
              <w:jc w:val="both"/>
              <w:rPr>
                <w:rFonts w:ascii="Times New Roman" w:hAnsi="Times New Roman" w:cs="Times New Roman"/>
                <w:sz w:val="20"/>
                <w:szCs w:val="20"/>
              </w:rPr>
            </w:pPr>
          </w:p>
        </w:tc>
        <w:tc>
          <w:tcPr>
            <w:tcW w:w="3831" w:type="dxa"/>
            <w:gridSpan w:val="2"/>
          </w:tcPr>
          <w:p w14:paraId="2F8216BA" w14:textId="77777777" w:rsidR="00FB6DA0" w:rsidRPr="00A840C5" w:rsidRDefault="00FB6DA0" w:rsidP="00A840C5">
            <w:pPr>
              <w:spacing w:after="0" w:line="240" w:lineRule="auto"/>
              <w:ind w:right="-1"/>
              <w:jc w:val="both"/>
              <w:rPr>
                <w:rFonts w:ascii="Times New Roman" w:hAnsi="Times New Roman" w:cs="Times New Roman"/>
                <w:sz w:val="20"/>
                <w:szCs w:val="20"/>
              </w:rPr>
            </w:pPr>
            <w:r w:rsidRPr="00A840C5">
              <w:rPr>
                <w:rFonts w:ascii="Times New Roman" w:hAnsi="Times New Roman" w:cs="Times New Roman"/>
                <w:sz w:val="20"/>
                <w:szCs w:val="20"/>
              </w:rPr>
              <w:t>Actual data</w:t>
            </w:r>
          </w:p>
        </w:tc>
        <w:tc>
          <w:tcPr>
            <w:tcW w:w="1899" w:type="dxa"/>
            <w:vMerge w:val="restart"/>
          </w:tcPr>
          <w:p w14:paraId="2CAEB59D" w14:textId="77777777" w:rsidR="00FB6DA0" w:rsidRPr="00A840C5" w:rsidRDefault="00FB6DA0" w:rsidP="00A840C5">
            <w:pPr>
              <w:spacing w:after="0" w:line="240" w:lineRule="auto"/>
              <w:ind w:right="-1"/>
              <w:jc w:val="both"/>
              <w:rPr>
                <w:rFonts w:ascii="Times New Roman" w:hAnsi="Times New Roman" w:cs="Times New Roman"/>
                <w:sz w:val="20"/>
                <w:szCs w:val="20"/>
              </w:rPr>
            </w:pPr>
          </w:p>
        </w:tc>
      </w:tr>
      <w:tr w:rsidR="00FB6DA0" w:rsidRPr="00A840C5" w14:paraId="69861DA9" w14:textId="77777777" w:rsidTr="00354D31">
        <w:trPr>
          <w:trHeight w:val="20"/>
        </w:trPr>
        <w:tc>
          <w:tcPr>
            <w:tcW w:w="3841" w:type="dxa"/>
            <w:gridSpan w:val="2"/>
            <w:vMerge/>
          </w:tcPr>
          <w:p w14:paraId="762825F0" w14:textId="77777777" w:rsidR="00FB6DA0" w:rsidRPr="00A840C5" w:rsidRDefault="00FB6DA0" w:rsidP="00A840C5">
            <w:pPr>
              <w:spacing w:after="0" w:line="240" w:lineRule="auto"/>
              <w:ind w:right="-1"/>
              <w:jc w:val="both"/>
              <w:rPr>
                <w:rFonts w:ascii="Times New Roman" w:hAnsi="Times New Roman" w:cs="Times New Roman"/>
                <w:sz w:val="20"/>
                <w:szCs w:val="20"/>
              </w:rPr>
            </w:pPr>
          </w:p>
        </w:tc>
        <w:tc>
          <w:tcPr>
            <w:tcW w:w="1915" w:type="dxa"/>
          </w:tcPr>
          <w:p w14:paraId="7D4453C8" w14:textId="77777777" w:rsidR="00FB6DA0" w:rsidRPr="00A840C5" w:rsidRDefault="00FB6DA0" w:rsidP="00A840C5">
            <w:pPr>
              <w:spacing w:after="0" w:line="240" w:lineRule="auto"/>
              <w:ind w:right="-1"/>
              <w:jc w:val="both"/>
              <w:rPr>
                <w:rFonts w:ascii="Times New Roman" w:hAnsi="Times New Roman" w:cs="Times New Roman"/>
                <w:sz w:val="20"/>
                <w:szCs w:val="20"/>
              </w:rPr>
            </w:pPr>
            <w:r w:rsidRPr="00A840C5">
              <w:rPr>
                <w:rFonts w:ascii="Times New Roman" w:hAnsi="Times New Roman" w:cs="Times New Roman"/>
                <w:sz w:val="20"/>
                <w:szCs w:val="20"/>
              </w:rPr>
              <w:t>closed</w:t>
            </w:r>
          </w:p>
        </w:tc>
        <w:tc>
          <w:tcPr>
            <w:tcW w:w="1916" w:type="dxa"/>
          </w:tcPr>
          <w:p w14:paraId="414F1991" w14:textId="77777777" w:rsidR="00FB6DA0" w:rsidRPr="00A840C5" w:rsidRDefault="00FB6DA0" w:rsidP="00A840C5">
            <w:pPr>
              <w:spacing w:after="0" w:line="240" w:lineRule="auto"/>
              <w:ind w:right="-1"/>
              <w:jc w:val="both"/>
              <w:rPr>
                <w:rFonts w:ascii="Times New Roman" w:hAnsi="Times New Roman" w:cs="Times New Roman"/>
                <w:sz w:val="20"/>
                <w:szCs w:val="20"/>
              </w:rPr>
            </w:pPr>
            <w:r w:rsidRPr="00A840C5">
              <w:rPr>
                <w:rFonts w:ascii="Times New Roman" w:hAnsi="Times New Roman" w:cs="Times New Roman"/>
                <w:sz w:val="20"/>
                <w:szCs w:val="20"/>
              </w:rPr>
              <w:t>open</w:t>
            </w:r>
          </w:p>
        </w:tc>
        <w:tc>
          <w:tcPr>
            <w:tcW w:w="1899" w:type="dxa"/>
            <w:vMerge/>
          </w:tcPr>
          <w:p w14:paraId="12949789" w14:textId="77777777" w:rsidR="00FB6DA0" w:rsidRPr="00A840C5" w:rsidRDefault="00FB6DA0" w:rsidP="00A840C5">
            <w:pPr>
              <w:spacing w:after="0" w:line="240" w:lineRule="auto"/>
              <w:ind w:right="-1"/>
              <w:jc w:val="both"/>
              <w:rPr>
                <w:rFonts w:ascii="Times New Roman" w:hAnsi="Times New Roman" w:cs="Times New Roman"/>
                <w:sz w:val="20"/>
                <w:szCs w:val="20"/>
              </w:rPr>
            </w:pPr>
          </w:p>
        </w:tc>
      </w:tr>
      <w:tr w:rsidR="00FB6DA0" w:rsidRPr="00A840C5" w14:paraId="47BFB3B0" w14:textId="77777777" w:rsidTr="00354D31">
        <w:trPr>
          <w:trHeight w:val="20"/>
        </w:trPr>
        <w:tc>
          <w:tcPr>
            <w:tcW w:w="1925" w:type="dxa"/>
            <w:vMerge w:val="restart"/>
          </w:tcPr>
          <w:p w14:paraId="592CD3C1" w14:textId="77777777" w:rsidR="00FB6DA0" w:rsidRPr="00A840C5" w:rsidRDefault="00FB6DA0" w:rsidP="00A840C5">
            <w:pPr>
              <w:spacing w:after="0" w:line="240" w:lineRule="auto"/>
              <w:ind w:right="-1"/>
              <w:jc w:val="both"/>
              <w:rPr>
                <w:rFonts w:ascii="Times New Roman" w:hAnsi="Times New Roman" w:cs="Times New Roman"/>
                <w:sz w:val="20"/>
                <w:szCs w:val="20"/>
              </w:rPr>
            </w:pPr>
            <w:r w:rsidRPr="00A840C5">
              <w:rPr>
                <w:rFonts w:ascii="Times New Roman" w:hAnsi="Times New Roman" w:cs="Times New Roman"/>
                <w:sz w:val="20"/>
                <w:szCs w:val="20"/>
              </w:rPr>
              <w:t>Forecast data</w:t>
            </w:r>
          </w:p>
        </w:tc>
        <w:tc>
          <w:tcPr>
            <w:tcW w:w="1916" w:type="dxa"/>
          </w:tcPr>
          <w:p w14:paraId="27C47A84" w14:textId="77777777" w:rsidR="00FB6DA0" w:rsidRPr="00A840C5" w:rsidRDefault="00FB6DA0" w:rsidP="00A840C5">
            <w:pPr>
              <w:spacing w:after="0" w:line="240" w:lineRule="auto"/>
              <w:ind w:right="-1"/>
              <w:jc w:val="both"/>
              <w:rPr>
                <w:rFonts w:ascii="Times New Roman" w:hAnsi="Times New Roman" w:cs="Times New Roman"/>
                <w:sz w:val="20"/>
                <w:szCs w:val="20"/>
              </w:rPr>
            </w:pPr>
            <w:r w:rsidRPr="00A840C5">
              <w:rPr>
                <w:rFonts w:ascii="Times New Roman" w:hAnsi="Times New Roman" w:cs="Times New Roman"/>
                <w:sz w:val="20"/>
                <w:szCs w:val="20"/>
              </w:rPr>
              <w:t>closed</w:t>
            </w:r>
          </w:p>
        </w:tc>
        <w:tc>
          <w:tcPr>
            <w:tcW w:w="1915" w:type="dxa"/>
          </w:tcPr>
          <w:p w14:paraId="379CE6E8" w14:textId="77777777" w:rsidR="00FB6DA0" w:rsidRPr="00A840C5" w:rsidRDefault="00FB6DA0" w:rsidP="00A840C5">
            <w:pPr>
              <w:spacing w:after="0" w:line="240" w:lineRule="auto"/>
              <w:ind w:right="-1"/>
              <w:jc w:val="both"/>
              <w:rPr>
                <w:rFonts w:ascii="Times New Roman" w:hAnsi="Times New Roman" w:cs="Times New Roman"/>
                <w:sz w:val="20"/>
                <w:szCs w:val="20"/>
              </w:rPr>
            </w:pPr>
            <w:r w:rsidRPr="00A840C5">
              <w:rPr>
                <w:rFonts w:ascii="Times New Roman" w:hAnsi="Times New Roman" w:cs="Times New Roman"/>
                <w:sz w:val="20"/>
                <w:szCs w:val="20"/>
              </w:rPr>
              <w:t>54</w:t>
            </w:r>
          </w:p>
        </w:tc>
        <w:tc>
          <w:tcPr>
            <w:tcW w:w="1916" w:type="dxa"/>
          </w:tcPr>
          <w:p w14:paraId="19531AAA" w14:textId="77777777" w:rsidR="00FB6DA0" w:rsidRPr="00A840C5" w:rsidRDefault="00FB6DA0" w:rsidP="00A840C5">
            <w:pPr>
              <w:spacing w:after="0" w:line="240" w:lineRule="auto"/>
              <w:ind w:right="-1"/>
              <w:jc w:val="both"/>
              <w:rPr>
                <w:rFonts w:ascii="Times New Roman" w:hAnsi="Times New Roman" w:cs="Times New Roman"/>
                <w:sz w:val="20"/>
                <w:szCs w:val="20"/>
              </w:rPr>
            </w:pPr>
            <w:r w:rsidRPr="00A840C5">
              <w:rPr>
                <w:rFonts w:ascii="Times New Roman" w:hAnsi="Times New Roman" w:cs="Times New Roman"/>
                <w:sz w:val="20"/>
                <w:szCs w:val="20"/>
              </w:rPr>
              <w:t>251</w:t>
            </w:r>
          </w:p>
        </w:tc>
        <w:tc>
          <w:tcPr>
            <w:tcW w:w="1899" w:type="dxa"/>
            <w:vMerge/>
          </w:tcPr>
          <w:p w14:paraId="2432B112" w14:textId="77777777" w:rsidR="00FB6DA0" w:rsidRPr="00A840C5" w:rsidRDefault="00FB6DA0" w:rsidP="00A840C5">
            <w:pPr>
              <w:spacing w:after="0" w:line="240" w:lineRule="auto"/>
              <w:ind w:right="-1"/>
              <w:jc w:val="both"/>
              <w:rPr>
                <w:rFonts w:ascii="Times New Roman" w:hAnsi="Times New Roman" w:cs="Times New Roman"/>
                <w:sz w:val="20"/>
                <w:szCs w:val="20"/>
              </w:rPr>
            </w:pPr>
          </w:p>
        </w:tc>
      </w:tr>
      <w:tr w:rsidR="00FB6DA0" w:rsidRPr="00A840C5" w14:paraId="73CD8506" w14:textId="77777777" w:rsidTr="00354D31">
        <w:trPr>
          <w:trHeight w:val="20"/>
        </w:trPr>
        <w:tc>
          <w:tcPr>
            <w:tcW w:w="1925" w:type="dxa"/>
            <w:vMerge/>
          </w:tcPr>
          <w:p w14:paraId="205D50F7" w14:textId="77777777" w:rsidR="00FB6DA0" w:rsidRPr="00A840C5" w:rsidRDefault="00FB6DA0" w:rsidP="00A840C5">
            <w:pPr>
              <w:spacing w:after="0" w:line="240" w:lineRule="auto"/>
              <w:ind w:right="-1"/>
              <w:jc w:val="both"/>
              <w:rPr>
                <w:rFonts w:ascii="Times New Roman" w:hAnsi="Times New Roman" w:cs="Times New Roman"/>
                <w:sz w:val="20"/>
                <w:szCs w:val="20"/>
              </w:rPr>
            </w:pPr>
          </w:p>
        </w:tc>
        <w:tc>
          <w:tcPr>
            <w:tcW w:w="1916" w:type="dxa"/>
          </w:tcPr>
          <w:p w14:paraId="36F7C808" w14:textId="77777777" w:rsidR="00FB6DA0" w:rsidRPr="00A840C5" w:rsidRDefault="00FB6DA0" w:rsidP="00A840C5">
            <w:pPr>
              <w:spacing w:after="0" w:line="240" w:lineRule="auto"/>
              <w:ind w:right="-1"/>
              <w:jc w:val="both"/>
              <w:rPr>
                <w:rFonts w:ascii="Times New Roman" w:hAnsi="Times New Roman" w:cs="Times New Roman"/>
                <w:sz w:val="20"/>
                <w:szCs w:val="20"/>
              </w:rPr>
            </w:pPr>
            <w:r w:rsidRPr="00A840C5">
              <w:rPr>
                <w:rFonts w:ascii="Times New Roman" w:hAnsi="Times New Roman" w:cs="Times New Roman"/>
                <w:sz w:val="20"/>
                <w:szCs w:val="20"/>
              </w:rPr>
              <w:t>open</w:t>
            </w:r>
          </w:p>
        </w:tc>
        <w:tc>
          <w:tcPr>
            <w:tcW w:w="1915" w:type="dxa"/>
          </w:tcPr>
          <w:p w14:paraId="5AC1AC80" w14:textId="77777777" w:rsidR="00FB6DA0" w:rsidRPr="00A840C5" w:rsidRDefault="00FB6DA0" w:rsidP="00A840C5">
            <w:pPr>
              <w:spacing w:after="0" w:line="240" w:lineRule="auto"/>
              <w:ind w:right="-1"/>
              <w:jc w:val="both"/>
              <w:rPr>
                <w:rFonts w:ascii="Times New Roman" w:hAnsi="Times New Roman" w:cs="Times New Roman"/>
                <w:sz w:val="20"/>
                <w:szCs w:val="20"/>
              </w:rPr>
            </w:pPr>
            <w:r w:rsidRPr="00A840C5">
              <w:rPr>
                <w:rFonts w:ascii="Times New Roman" w:hAnsi="Times New Roman" w:cs="Times New Roman"/>
                <w:sz w:val="20"/>
                <w:szCs w:val="20"/>
              </w:rPr>
              <w:t>46</w:t>
            </w:r>
          </w:p>
        </w:tc>
        <w:tc>
          <w:tcPr>
            <w:tcW w:w="1916" w:type="dxa"/>
          </w:tcPr>
          <w:p w14:paraId="5303A349" w14:textId="77777777" w:rsidR="00FB6DA0" w:rsidRPr="00A840C5" w:rsidRDefault="00FB6DA0" w:rsidP="00A840C5">
            <w:pPr>
              <w:spacing w:after="0" w:line="240" w:lineRule="auto"/>
              <w:ind w:right="-1"/>
              <w:jc w:val="both"/>
              <w:rPr>
                <w:rFonts w:ascii="Times New Roman" w:hAnsi="Times New Roman" w:cs="Times New Roman"/>
                <w:sz w:val="20"/>
                <w:szCs w:val="20"/>
              </w:rPr>
            </w:pPr>
            <w:r w:rsidRPr="00A840C5">
              <w:rPr>
                <w:rFonts w:ascii="Times New Roman" w:hAnsi="Times New Roman" w:cs="Times New Roman"/>
                <w:sz w:val="20"/>
                <w:szCs w:val="20"/>
              </w:rPr>
              <w:t>514</w:t>
            </w:r>
          </w:p>
        </w:tc>
        <w:tc>
          <w:tcPr>
            <w:tcW w:w="1899" w:type="dxa"/>
            <w:vMerge/>
          </w:tcPr>
          <w:p w14:paraId="4D9BF9DD" w14:textId="77777777" w:rsidR="00FB6DA0" w:rsidRPr="00A840C5" w:rsidRDefault="00FB6DA0" w:rsidP="00A840C5">
            <w:pPr>
              <w:spacing w:after="0" w:line="240" w:lineRule="auto"/>
              <w:ind w:right="-1"/>
              <w:jc w:val="both"/>
              <w:rPr>
                <w:rFonts w:ascii="Times New Roman" w:hAnsi="Times New Roman" w:cs="Times New Roman"/>
                <w:sz w:val="20"/>
                <w:szCs w:val="20"/>
              </w:rPr>
            </w:pPr>
          </w:p>
        </w:tc>
      </w:tr>
      <w:tr w:rsidR="00354D31" w:rsidRPr="00A840C5" w14:paraId="7AA8F902" w14:textId="77777777" w:rsidTr="00354D31">
        <w:trPr>
          <w:trHeight w:val="20"/>
        </w:trPr>
        <w:tc>
          <w:tcPr>
            <w:tcW w:w="1920" w:type="dxa"/>
            <w:tcBorders>
              <w:right w:val="single" w:sz="4" w:space="0" w:color="FFFFFF" w:themeColor="background1"/>
            </w:tcBorders>
          </w:tcPr>
          <w:p w14:paraId="2E752D0B" w14:textId="77777777" w:rsidR="00354D31" w:rsidRPr="00A840C5" w:rsidRDefault="00354D31" w:rsidP="00A840C5">
            <w:pPr>
              <w:spacing w:after="0" w:line="240" w:lineRule="auto"/>
              <w:ind w:right="-1"/>
              <w:jc w:val="both"/>
              <w:rPr>
                <w:rFonts w:ascii="Times New Roman" w:hAnsi="Times New Roman" w:cs="Times New Roman"/>
                <w:sz w:val="20"/>
                <w:szCs w:val="20"/>
              </w:rPr>
            </w:pPr>
          </w:p>
        </w:tc>
        <w:tc>
          <w:tcPr>
            <w:tcW w:w="1921" w:type="dxa"/>
            <w:tcBorders>
              <w:left w:val="single" w:sz="4" w:space="0" w:color="FFFFFF" w:themeColor="background1"/>
            </w:tcBorders>
          </w:tcPr>
          <w:p w14:paraId="604DCE32" w14:textId="77777777" w:rsidR="00354D31" w:rsidRPr="00A840C5" w:rsidRDefault="00354D31" w:rsidP="00A840C5">
            <w:pPr>
              <w:spacing w:after="0" w:line="240" w:lineRule="auto"/>
              <w:ind w:right="-1"/>
              <w:jc w:val="both"/>
              <w:rPr>
                <w:rFonts w:ascii="Times New Roman" w:hAnsi="Times New Roman" w:cs="Times New Roman"/>
                <w:sz w:val="20"/>
                <w:szCs w:val="20"/>
              </w:rPr>
            </w:pPr>
            <w:r w:rsidRPr="00A840C5">
              <w:rPr>
                <w:rFonts w:ascii="Times New Roman" w:hAnsi="Times New Roman" w:cs="Times New Roman"/>
                <w:sz w:val="20"/>
                <w:szCs w:val="20"/>
              </w:rPr>
              <w:t>total</w:t>
            </w:r>
          </w:p>
        </w:tc>
        <w:tc>
          <w:tcPr>
            <w:tcW w:w="1915" w:type="dxa"/>
          </w:tcPr>
          <w:p w14:paraId="23EC2DC8" w14:textId="77777777" w:rsidR="00354D31" w:rsidRPr="00A840C5" w:rsidRDefault="00354D31" w:rsidP="00A840C5">
            <w:pPr>
              <w:spacing w:after="0" w:line="240" w:lineRule="auto"/>
              <w:ind w:right="-1"/>
              <w:jc w:val="both"/>
              <w:rPr>
                <w:rFonts w:ascii="Times New Roman" w:hAnsi="Times New Roman" w:cs="Times New Roman"/>
                <w:sz w:val="20"/>
                <w:szCs w:val="20"/>
              </w:rPr>
            </w:pPr>
            <w:r w:rsidRPr="00A840C5">
              <w:rPr>
                <w:rFonts w:ascii="Times New Roman" w:hAnsi="Times New Roman" w:cs="Times New Roman"/>
                <w:sz w:val="20"/>
                <w:szCs w:val="20"/>
              </w:rPr>
              <w:t>100</w:t>
            </w:r>
          </w:p>
        </w:tc>
        <w:tc>
          <w:tcPr>
            <w:tcW w:w="1916" w:type="dxa"/>
          </w:tcPr>
          <w:p w14:paraId="36A50E6D" w14:textId="77777777" w:rsidR="00354D31" w:rsidRPr="00A840C5" w:rsidRDefault="00354D31" w:rsidP="00A840C5">
            <w:pPr>
              <w:spacing w:after="0" w:line="240" w:lineRule="auto"/>
              <w:ind w:right="-1"/>
              <w:jc w:val="both"/>
              <w:rPr>
                <w:rFonts w:ascii="Times New Roman" w:hAnsi="Times New Roman" w:cs="Times New Roman"/>
                <w:sz w:val="20"/>
                <w:szCs w:val="20"/>
              </w:rPr>
            </w:pPr>
            <w:r w:rsidRPr="00A840C5">
              <w:rPr>
                <w:rFonts w:ascii="Times New Roman" w:hAnsi="Times New Roman" w:cs="Times New Roman"/>
                <w:sz w:val="20"/>
                <w:szCs w:val="20"/>
              </w:rPr>
              <w:t>765</w:t>
            </w:r>
          </w:p>
        </w:tc>
        <w:tc>
          <w:tcPr>
            <w:tcW w:w="1899" w:type="dxa"/>
          </w:tcPr>
          <w:p w14:paraId="75272AFC" w14:textId="77777777" w:rsidR="00354D31" w:rsidRPr="00A840C5" w:rsidRDefault="00354D31" w:rsidP="00A840C5">
            <w:pPr>
              <w:spacing w:after="0" w:line="240" w:lineRule="auto"/>
              <w:ind w:right="-1"/>
              <w:jc w:val="both"/>
              <w:rPr>
                <w:rFonts w:ascii="Times New Roman" w:hAnsi="Times New Roman" w:cs="Times New Roman"/>
                <w:sz w:val="20"/>
                <w:szCs w:val="20"/>
              </w:rPr>
            </w:pPr>
            <w:r w:rsidRPr="00A840C5">
              <w:rPr>
                <w:rFonts w:ascii="Times New Roman" w:hAnsi="Times New Roman" w:cs="Times New Roman"/>
                <w:sz w:val="20"/>
                <w:szCs w:val="20"/>
              </w:rPr>
              <w:t>865</w:t>
            </w:r>
          </w:p>
        </w:tc>
      </w:tr>
      <w:tr w:rsidR="00FB6DA0" w:rsidRPr="00A840C5" w14:paraId="0B001804" w14:textId="77777777" w:rsidTr="00354D31">
        <w:trPr>
          <w:trHeight w:val="20"/>
        </w:trPr>
        <w:tc>
          <w:tcPr>
            <w:tcW w:w="1925" w:type="dxa"/>
          </w:tcPr>
          <w:p w14:paraId="3F65BE7C" w14:textId="77777777" w:rsidR="00FB6DA0" w:rsidRPr="00A840C5" w:rsidRDefault="00FB6DA0" w:rsidP="00A840C5">
            <w:pPr>
              <w:spacing w:after="0" w:line="240" w:lineRule="auto"/>
              <w:ind w:right="-1"/>
              <w:jc w:val="both"/>
              <w:rPr>
                <w:rFonts w:ascii="Times New Roman" w:hAnsi="Times New Roman" w:cs="Times New Roman"/>
                <w:sz w:val="20"/>
                <w:szCs w:val="20"/>
              </w:rPr>
            </w:pPr>
            <w:r w:rsidRPr="00A840C5">
              <w:rPr>
                <w:rFonts w:ascii="Times New Roman" w:hAnsi="Times New Roman" w:cs="Times New Roman"/>
                <w:sz w:val="20"/>
                <w:szCs w:val="20"/>
              </w:rPr>
              <w:t>accuracy</w:t>
            </w:r>
          </w:p>
        </w:tc>
        <w:tc>
          <w:tcPr>
            <w:tcW w:w="1916" w:type="dxa"/>
          </w:tcPr>
          <w:p w14:paraId="3D495F28" w14:textId="77777777" w:rsidR="00FB6DA0" w:rsidRPr="00A840C5" w:rsidRDefault="00FB6DA0" w:rsidP="00A840C5">
            <w:pPr>
              <w:spacing w:after="0" w:line="240" w:lineRule="auto"/>
              <w:ind w:right="-1"/>
              <w:jc w:val="both"/>
              <w:rPr>
                <w:rFonts w:ascii="Times New Roman" w:hAnsi="Times New Roman" w:cs="Times New Roman"/>
                <w:sz w:val="20"/>
                <w:szCs w:val="20"/>
              </w:rPr>
            </w:pPr>
          </w:p>
        </w:tc>
        <w:tc>
          <w:tcPr>
            <w:tcW w:w="1915" w:type="dxa"/>
          </w:tcPr>
          <w:p w14:paraId="42D45FA4" w14:textId="77777777" w:rsidR="00FB6DA0" w:rsidRPr="00A840C5" w:rsidRDefault="00FB6DA0" w:rsidP="00A840C5">
            <w:pPr>
              <w:spacing w:after="0" w:line="240" w:lineRule="auto"/>
              <w:ind w:right="-1"/>
              <w:jc w:val="both"/>
              <w:rPr>
                <w:rFonts w:ascii="Times New Roman" w:hAnsi="Times New Roman" w:cs="Times New Roman"/>
                <w:sz w:val="20"/>
                <w:szCs w:val="20"/>
              </w:rPr>
            </w:pPr>
            <w:r w:rsidRPr="00A840C5">
              <w:rPr>
                <w:rFonts w:ascii="Times New Roman" w:hAnsi="Times New Roman" w:cs="Times New Roman"/>
                <w:sz w:val="20"/>
                <w:szCs w:val="20"/>
              </w:rPr>
              <w:t>0.54</w:t>
            </w:r>
          </w:p>
        </w:tc>
        <w:tc>
          <w:tcPr>
            <w:tcW w:w="1916" w:type="dxa"/>
          </w:tcPr>
          <w:p w14:paraId="6865F5CF" w14:textId="77777777" w:rsidR="00FB6DA0" w:rsidRPr="00A840C5" w:rsidRDefault="00FB6DA0" w:rsidP="00A840C5">
            <w:pPr>
              <w:spacing w:after="0" w:line="240" w:lineRule="auto"/>
              <w:ind w:right="-1"/>
              <w:jc w:val="both"/>
              <w:rPr>
                <w:rFonts w:ascii="Times New Roman" w:hAnsi="Times New Roman" w:cs="Times New Roman"/>
                <w:sz w:val="20"/>
                <w:szCs w:val="20"/>
              </w:rPr>
            </w:pPr>
            <w:r w:rsidRPr="00A840C5">
              <w:rPr>
                <w:rFonts w:ascii="Times New Roman" w:hAnsi="Times New Roman" w:cs="Times New Roman"/>
                <w:sz w:val="20"/>
                <w:szCs w:val="20"/>
              </w:rPr>
              <w:t>0.67</w:t>
            </w:r>
          </w:p>
        </w:tc>
        <w:tc>
          <w:tcPr>
            <w:tcW w:w="1899" w:type="dxa"/>
          </w:tcPr>
          <w:p w14:paraId="2A94013C" w14:textId="77777777" w:rsidR="00FB6DA0" w:rsidRPr="00A840C5" w:rsidRDefault="00FB6DA0" w:rsidP="00A840C5">
            <w:pPr>
              <w:spacing w:after="0" w:line="240" w:lineRule="auto"/>
              <w:ind w:right="-1"/>
              <w:jc w:val="both"/>
              <w:rPr>
                <w:rFonts w:ascii="Times New Roman" w:hAnsi="Times New Roman" w:cs="Times New Roman"/>
                <w:sz w:val="20"/>
                <w:szCs w:val="20"/>
              </w:rPr>
            </w:pPr>
            <w:r w:rsidRPr="00A840C5">
              <w:rPr>
                <w:rFonts w:ascii="Times New Roman" w:hAnsi="Times New Roman" w:cs="Times New Roman"/>
                <w:sz w:val="20"/>
                <w:szCs w:val="20"/>
              </w:rPr>
              <w:t>0.66</w:t>
            </w:r>
          </w:p>
        </w:tc>
      </w:tr>
    </w:tbl>
    <w:p w14:paraId="1DA6144B" w14:textId="77777777" w:rsidR="00354D31" w:rsidRPr="00C57DFA" w:rsidRDefault="00354D31" w:rsidP="004B0B40">
      <w:pPr>
        <w:spacing w:after="0" w:line="360" w:lineRule="auto"/>
        <w:ind w:right="-1"/>
        <w:jc w:val="both"/>
        <w:rPr>
          <w:rFonts w:ascii="Times New Roman" w:hAnsi="Times New Roman" w:cs="Times New Roman"/>
          <w:sz w:val="28"/>
          <w:szCs w:val="28"/>
        </w:rPr>
      </w:pPr>
    </w:p>
    <w:p w14:paraId="076535A0" w14:textId="77777777" w:rsidR="008A2413" w:rsidRPr="00C57DFA" w:rsidRDefault="00E9540F" w:rsidP="004B0B40">
      <w:pPr>
        <w:spacing w:after="0" w:line="360" w:lineRule="auto"/>
        <w:ind w:right="-1"/>
        <w:jc w:val="both"/>
        <w:rPr>
          <w:rFonts w:ascii="Times New Roman" w:hAnsi="Times New Roman" w:cs="Times New Roman"/>
          <w:sz w:val="28"/>
          <w:szCs w:val="28"/>
        </w:rPr>
      </w:pPr>
      <w:r w:rsidRPr="00C57DFA">
        <w:rPr>
          <w:rFonts w:ascii="Times New Roman" w:hAnsi="Times New Roman" w:cs="Times New Roman"/>
          <w:sz w:val="28"/>
          <w:szCs w:val="28"/>
        </w:rPr>
        <w:t xml:space="preserve">The general model construction algorithms are still to be discussed. The general model results can be adjusted by distributing weight between the models, setting thresholds for function activation and/or varying the sample sets, with a proper understanding of which error (of the first or second type) is considered to be less admissible. </w:t>
      </w:r>
    </w:p>
    <w:p w14:paraId="50C6ED54" w14:textId="77777777" w:rsidR="00AA443F" w:rsidRPr="00C57DFA" w:rsidRDefault="00AA443F" w:rsidP="004B0B40">
      <w:pPr>
        <w:spacing w:after="0" w:line="360" w:lineRule="auto"/>
        <w:ind w:right="-1"/>
        <w:jc w:val="both"/>
        <w:rPr>
          <w:rFonts w:ascii="Times New Roman" w:hAnsi="Times New Roman" w:cs="Times New Roman"/>
          <w:b/>
          <w:sz w:val="28"/>
          <w:szCs w:val="28"/>
        </w:rPr>
      </w:pPr>
      <w:r w:rsidRPr="00C57DFA">
        <w:rPr>
          <w:rFonts w:ascii="Times New Roman" w:hAnsi="Times New Roman" w:cs="Times New Roman"/>
          <w:b/>
          <w:sz w:val="28"/>
          <w:szCs w:val="28"/>
        </w:rPr>
        <w:t>Conclusion</w:t>
      </w:r>
    </w:p>
    <w:p w14:paraId="7A8B7DD0" w14:textId="77777777" w:rsidR="000441CC" w:rsidRPr="00C57DFA" w:rsidRDefault="000441CC" w:rsidP="004B0B40">
      <w:pPr>
        <w:spacing w:after="0" w:line="360" w:lineRule="auto"/>
        <w:jc w:val="both"/>
        <w:rPr>
          <w:rFonts w:ascii="Times New Roman" w:hAnsi="Times New Roman" w:cs="Times New Roman"/>
          <w:sz w:val="28"/>
          <w:szCs w:val="28"/>
        </w:rPr>
      </w:pPr>
      <w:r w:rsidRPr="00C57DFA">
        <w:rPr>
          <w:rFonts w:ascii="Times New Roman" w:hAnsi="Times New Roman" w:cs="Times New Roman"/>
          <w:sz w:val="28"/>
          <w:szCs w:val="28"/>
        </w:rPr>
        <w:t>The research has resulted in an advanced toolbox that can be used by both bank supervisory authorities to forecast credit institution license withdrawal and other banks to assess their competitive landscape.</w:t>
      </w:r>
    </w:p>
    <w:p w14:paraId="54668DA5" w14:textId="77777777" w:rsidR="00994F80" w:rsidRDefault="000441CC" w:rsidP="004B0B40">
      <w:pPr>
        <w:spacing w:after="0" w:line="360" w:lineRule="auto"/>
        <w:ind w:right="-1"/>
        <w:jc w:val="both"/>
        <w:rPr>
          <w:rFonts w:ascii="Times New Roman" w:hAnsi="Times New Roman" w:cs="Times New Roman"/>
          <w:sz w:val="28"/>
          <w:szCs w:val="28"/>
        </w:rPr>
      </w:pPr>
      <w:r w:rsidRPr="00C57DFA">
        <w:rPr>
          <w:rFonts w:ascii="Times New Roman" w:hAnsi="Times New Roman" w:cs="Times New Roman"/>
          <w:sz w:val="28"/>
          <w:szCs w:val="28"/>
        </w:rPr>
        <w:t xml:space="preserve">As part of the research, we have built the panel data binary response models and elaborated the system for aligning the forecast results obtained from the models built. The license withdrawal probability for each sample goes to the final forecast with a certain weight, thus shaping a general integrated indicator. As an option to improve the model quality, you can either use a weighted voting method, or elaborate another </w:t>
      </w:r>
      <w:r w:rsidRPr="00C57DFA">
        <w:rPr>
          <w:rFonts w:ascii="Times New Roman" w:hAnsi="Times New Roman" w:cs="Times New Roman"/>
          <w:sz w:val="28"/>
          <w:szCs w:val="28"/>
        </w:rPr>
        <w:lastRenderedPageBreak/>
        <w:t>technique to aggregate the forecasts from the models built</w:t>
      </w:r>
      <w:r w:rsidR="00C370A0" w:rsidRPr="00C57DFA">
        <w:rPr>
          <w:rFonts w:ascii="Times New Roman" w:hAnsi="Times New Roman" w:cs="Times New Roman"/>
          <w:sz w:val="28"/>
          <w:szCs w:val="28"/>
        </w:rPr>
        <w:t xml:space="preserve"> </w:t>
      </w:r>
      <w:r w:rsidRPr="00C57DFA">
        <w:rPr>
          <w:rFonts w:ascii="Times New Roman" w:hAnsi="Times New Roman" w:cs="Times New Roman"/>
          <w:sz w:val="28"/>
          <w:szCs w:val="28"/>
        </w:rPr>
        <w:t>—</w:t>
      </w:r>
      <w:r w:rsidR="00C370A0" w:rsidRPr="00C57DFA">
        <w:rPr>
          <w:rFonts w:ascii="Times New Roman" w:hAnsi="Times New Roman" w:cs="Times New Roman"/>
          <w:sz w:val="28"/>
          <w:szCs w:val="28"/>
        </w:rPr>
        <w:t xml:space="preserve"> </w:t>
      </w:r>
      <w:r w:rsidRPr="00C57DFA">
        <w:rPr>
          <w:rFonts w:ascii="Times New Roman" w:hAnsi="Times New Roman" w:cs="Times New Roman"/>
          <w:sz w:val="28"/>
          <w:szCs w:val="28"/>
        </w:rPr>
        <w:t xml:space="preserve">a way that may require further research. </w:t>
      </w:r>
    </w:p>
    <w:p w14:paraId="7D54E128" w14:textId="77777777" w:rsidR="0069377E" w:rsidRPr="0069377E" w:rsidRDefault="0069377E" w:rsidP="0069377E">
      <w:pPr>
        <w:spacing w:after="0" w:line="360" w:lineRule="auto"/>
        <w:ind w:right="-1"/>
        <w:jc w:val="both"/>
        <w:rPr>
          <w:rFonts w:ascii="Times New Roman" w:hAnsi="Times New Roman" w:cs="Times New Roman"/>
          <w:sz w:val="28"/>
          <w:szCs w:val="28"/>
        </w:rPr>
      </w:pPr>
      <w:r w:rsidRPr="0069377E">
        <w:rPr>
          <w:rFonts w:ascii="Times New Roman" w:hAnsi="Times New Roman" w:cs="Times New Roman"/>
          <w:b/>
          <w:sz w:val="28"/>
          <w:szCs w:val="28"/>
        </w:rPr>
        <w:t>Acknowledgements</w:t>
      </w:r>
      <w:r w:rsidRPr="0069377E">
        <w:rPr>
          <w:rFonts w:ascii="Times New Roman" w:hAnsi="Times New Roman" w:cs="Times New Roman"/>
          <w:sz w:val="28"/>
          <w:szCs w:val="28"/>
        </w:rPr>
        <w:br/>
        <w:t xml:space="preserve">This work was supported by Competitiveness Growth Program of the Federal Autonomous Educational Institution of Higher Education National Research Nuclear University </w:t>
      </w:r>
      <w:proofErr w:type="spellStart"/>
      <w:r w:rsidRPr="0069377E">
        <w:rPr>
          <w:rFonts w:ascii="Times New Roman" w:hAnsi="Times New Roman" w:cs="Times New Roman"/>
          <w:sz w:val="28"/>
          <w:szCs w:val="28"/>
        </w:rPr>
        <w:t>MEPhI</w:t>
      </w:r>
      <w:proofErr w:type="spellEnd"/>
      <w:r w:rsidRPr="0069377E">
        <w:rPr>
          <w:rFonts w:ascii="Times New Roman" w:hAnsi="Times New Roman" w:cs="Times New Roman"/>
          <w:sz w:val="28"/>
          <w:szCs w:val="28"/>
        </w:rPr>
        <w:t xml:space="preserve"> (Moscow Engineering Physics Institute).</w:t>
      </w:r>
    </w:p>
    <w:p w14:paraId="3C4EC327" w14:textId="77777777" w:rsidR="009A5CB2" w:rsidRDefault="009A5CB2" w:rsidP="009A5CB2">
      <w:pPr>
        <w:spacing w:after="0" w:line="360" w:lineRule="auto"/>
        <w:ind w:right="-1"/>
        <w:jc w:val="both"/>
        <w:rPr>
          <w:rFonts w:ascii="Times New Roman" w:hAnsi="Times New Roman" w:cs="Times New Roman"/>
          <w:b/>
          <w:sz w:val="28"/>
          <w:szCs w:val="28"/>
        </w:rPr>
      </w:pPr>
    </w:p>
    <w:p w14:paraId="34A18051" w14:textId="77777777" w:rsidR="009A5CB2" w:rsidRPr="009A5CB2" w:rsidRDefault="009A5CB2" w:rsidP="009A5CB2">
      <w:pPr>
        <w:spacing w:after="0" w:line="360" w:lineRule="auto"/>
        <w:ind w:right="-1"/>
        <w:jc w:val="both"/>
        <w:rPr>
          <w:rFonts w:ascii="Times New Roman" w:hAnsi="Times New Roman" w:cs="Times New Roman"/>
          <w:b/>
          <w:sz w:val="28"/>
          <w:szCs w:val="28"/>
        </w:rPr>
      </w:pPr>
      <w:r w:rsidRPr="009A5CB2">
        <w:rPr>
          <w:rFonts w:ascii="Times New Roman" w:hAnsi="Times New Roman" w:cs="Times New Roman"/>
          <w:b/>
          <w:sz w:val="28"/>
          <w:szCs w:val="28"/>
        </w:rPr>
        <w:t>References</w:t>
      </w:r>
    </w:p>
    <w:p w14:paraId="32C47267" w14:textId="77777777" w:rsidR="00721573" w:rsidRPr="00C57DFA" w:rsidRDefault="000B6E04" w:rsidP="00F66B25">
      <w:pPr>
        <w:spacing w:after="0" w:line="360" w:lineRule="auto"/>
        <w:ind w:left="284" w:right="-1" w:hanging="284"/>
        <w:jc w:val="both"/>
        <w:rPr>
          <w:rStyle w:val="a9"/>
          <w:rFonts w:ascii="Times New Roman" w:hAnsi="Times New Roman" w:cs="Times New Roman"/>
          <w:sz w:val="28"/>
          <w:szCs w:val="28"/>
        </w:rPr>
      </w:pPr>
      <w:r>
        <w:rPr>
          <w:rFonts w:ascii="Times New Roman" w:hAnsi="Times New Roman" w:cs="Times New Roman"/>
          <w:sz w:val="28"/>
          <w:szCs w:val="28"/>
        </w:rPr>
        <w:t>[</w:t>
      </w:r>
      <w:r w:rsidR="004557CC" w:rsidRPr="00C57DFA">
        <w:rPr>
          <w:rFonts w:ascii="Times New Roman" w:hAnsi="Times New Roman" w:cs="Times New Roman"/>
          <w:sz w:val="28"/>
          <w:szCs w:val="28"/>
        </w:rPr>
        <w:t>1</w:t>
      </w:r>
      <w:r>
        <w:rPr>
          <w:rFonts w:ascii="Times New Roman" w:hAnsi="Times New Roman" w:cs="Times New Roman"/>
          <w:sz w:val="28"/>
          <w:szCs w:val="28"/>
        </w:rPr>
        <w:t>]</w:t>
      </w:r>
      <w:r w:rsidR="00EE2E0C" w:rsidRPr="00C57DFA">
        <w:rPr>
          <w:rFonts w:ascii="Times New Roman" w:hAnsi="Times New Roman" w:cs="Times New Roman"/>
          <w:sz w:val="28"/>
          <w:szCs w:val="28"/>
        </w:rPr>
        <w:tab/>
      </w:r>
      <w:r w:rsidR="004557CC" w:rsidRPr="00C57DFA">
        <w:rPr>
          <w:rFonts w:ascii="Times New Roman" w:hAnsi="Times New Roman" w:cs="Times New Roman"/>
          <w:sz w:val="28"/>
          <w:szCs w:val="28"/>
        </w:rPr>
        <w:t xml:space="preserve">Central Bank of the Russian Federation URL: </w:t>
      </w:r>
      <w:r w:rsidR="004557CC" w:rsidRPr="00C57DFA">
        <w:rPr>
          <w:rStyle w:val="a9"/>
          <w:rFonts w:ascii="Times New Roman" w:hAnsi="Times New Roman" w:cs="Times New Roman"/>
          <w:sz w:val="28"/>
          <w:szCs w:val="28"/>
        </w:rPr>
        <w:t>https://www.cbr.ru/</w:t>
      </w:r>
    </w:p>
    <w:p w14:paraId="35659E21" w14:textId="77777777" w:rsidR="00BD1865" w:rsidRPr="00C57DFA" w:rsidRDefault="000B6E04" w:rsidP="00F66B25">
      <w:pPr>
        <w:spacing w:after="0" w:line="360" w:lineRule="auto"/>
        <w:ind w:left="284" w:right="-1" w:hanging="284"/>
        <w:jc w:val="both"/>
        <w:rPr>
          <w:rFonts w:ascii="Times New Roman" w:hAnsi="Times New Roman" w:cs="Times New Roman"/>
          <w:sz w:val="28"/>
          <w:szCs w:val="28"/>
        </w:rPr>
      </w:pPr>
      <w:r>
        <w:rPr>
          <w:rFonts w:ascii="Times New Roman" w:hAnsi="Times New Roman" w:cs="Times New Roman"/>
          <w:sz w:val="28"/>
          <w:szCs w:val="28"/>
        </w:rPr>
        <w:t>[</w:t>
      </w:r>
      <w:r w:rsidR="004557CC" w:rsidRPr="00C57DFA">
        <w:rPr>
          <w:rFonts w:ascii="Times New Roman" w:hAnsi="Times New Roman" w:cs="Times New Roman"/>
          <w:sz w:val="28"/>
          <w:szCs w:val="28"/>
        </w:rPr>
        <w:t>2</w:t>
      </w:r>
      <w:r>
        <w:rPr>
          <w:rFonts w:ascii="Times New Roman" w:hAnsi="Times New Roman" w:cs="Times New Roman"/>
          <w:sz w:val="28"/>
          <w:szCs w:val="28"/>
        </w:rPr>
        <w:t>]</w:t>
      </w:r>
      <w:r w:rsidR="00EE2E0C" w:rsidRPr="00C57DFA">
        <w:rPr>
          <w:rFonts w:ascii="Times New Roman" w:hAnsi="Times New Roman" w:cs="Times New Roman"/>
          <w:sz w:val="28"/>
          <w:szCs w:val="28"/>
        </w:rPr>
        <w:tab/>
      </w:r>
      <w:r w:rsidR="004557CC" w:rsidRPr="00C57DFA">
        <w:rPr>
          <w:rFonts w:ascii="Times New Roman" w:hAnsi="Times New Roman" w:cs="Times New Roman"/>
          <w:sz w:val="28"/>
          <w:szCs w:val="28"/>
        </w:rPr>
        <w:t xml:space="preserve">Banki.ru info portal URL: </w:t>
      </w:r>
      <w:r w:rsidR="004557CC" w:rsidRPr="00C57DFA">
        <w:rPr>
          <w:rStyle w:val="a9"/>
          <w:rFonts w:ascii="Times New Roman" w:hAnsi="Times New Roman" w:cs="Times New Roman"/>
          <w:sz w:val="28"/>
          <w:szCs w:val="28"/>
        </w:rPr>
        <w:t>http://www.banki.ru/</w:t>
      </w:r>
    </w:p>
    <w:p w14:paraId="1670211F" w14:textId="77777777" w:rsidR="006A3B99" w:rsidRPr="00C57DFA" w:rsidRDefault="000B6E04" w:rsidP="00F66B25">
      <w:pPr>
        <w:spacing w:after="0" w:line="360" w:lineRule="auto"/>
        <w:ind w:left="284" w:right="-1" w:hanging="284"/>
        <w:jc w:val="both"/>
        <w:rPr>
          <w:rFonts w:ascii="Times New Roman" w:hAnsi="Times New Roman" w:cs="Times New Roman"/>
          <w:sz w:val="28"/>
          <w:szCs w:val="28"/>
        </w:rPr>
      </w:pPr>
      <w:r>
        <w:rPr>
          <w:rFonts w:ascii="Times New Roman" w:hAnsi="Times New Roman" w:cs="Times New Roman"/>
          <w:sz w:val="28"/>
          <w:szCs w:val="28"/>
        </w:rPr>
        <w:t>[</w:t>
      </w:r>
      <w:r w:rsidR="004557CC" w:rsidRPr="00C57DFA">
        <w:rPr>
          <w:rFonts w:ascii="Times New Roman" w:hAnsi="Times New Roman" w:cs="Times New Roman"/>
          <w:sz w:val="28"/>
          <w:szCs w:val="28"/>
        </w:rPr>
        <w:t>3</w:t>
      </w:r>
      <w:r>
        <w:rPr>
          <w:rFonts w:ascii="Times New Roman" w:hAnsi="Times New Roman" w:cs="Times New Roman"/>
          <w:sz w:val="28"/>
          <w:szCs w:val="28"/>
        </w:rPr>
        <w:t>]</w:t>
      </w:r>
      <w:r w:rsidR="00EE2E0C" w:rsidRPr="00C57DFA">
        <w:rPr>
          <w:rFonts w:ascii="Times New Roman" w:hAnsi="Times New Roman" w:cs="Times New Roman"/>
          <w:sz w:val="28"/>
          <w:szCs w:val="28"/>
        </w:rPr>
        <w:tab/>
      </w:r>
      <w:r w:rsidR="004557CC" w:rsidRPr="00C57DFA">
        <w:rPr>
          <w:rFonts w:ascii="Times New Roman" w:hAnsi="Times New Roman" w:cs="Times New Roman"/>
          <w:sz w:val="28"/>
          <w:szCs w:val="28"/>
        </w:rPr>
        <w:t xml:space="preserve">Federal State Statistics Service of the Russian Federation URL: </w:t>
      </w:r>
      <w:r w:rsidR="004557CC" w:rsidRPr="00C57DFA">
        <w:rPr>
          <w:rStyle w:val="a9"/>
          <w:rFonts w:ascii="Times New Roman" w:hAnsi="Times New Roman" w:cs="Times New Roman"/>
          <w:sz w:val="28"/>
          <w:szCs w:val="28"/>
        </w:rPr>
        <w:t>http://www.gks.ru/</w:t>
      </w:r>
    </w:p>
    <w:p w14:paraId="66B36086" w14:textId="77777777" w:rsidR="00006C88" w:rsidRPr="00C57DFA" w:rsidRDefault="000B6E04" w:rsidP="00F66B25">
      <w:pPr>
        <w:spacing w:after="0" w:line="360" w:lineRule="auto"/>
        <w:ind w:left="284" w:right="-1" w:hanging="284"/>
        <w:jc w:val="both"/>
        <w:rPr>
          <w:rFonts w:ascii="Times New Roman" w:hAnsi="Times New Roman" w:cs="Times New Roman"/>
          <w:sz w:val="28"/>
          <w:szCs w:val="28"/>
        </w:rPr>
      </w:pPr>
      <w:r>
        <w:rPr>
          <w:rStyle w:val="a9"/>
          <w:rFonts w:ascii="Times New Roman" w:hAnsi="Times New Roman" w:cs="Times New Roman"/>
          <w:color w:val="auto"/>
          <w:sz w:val="28"/>
          <w:szCs w:val="28"/>
          <w:u w:val="none"/>
        </w:rPr>
        <w:t>[</w:t>
      </w:r>
      <w:r w:rsidR="004557CC" w:rsidRPr="00C57DFA">
        <w:rPr>
          <w:rStyle w:val="a9"/>
          <w:rFonts w:ascii="Times New Roman" w:hAnsi="Times New Roman" w:cs="Times New Roman"/>
          <w:color w:val="auto"/>
          <w:sz w:val="28"/>
          <w:szCs w:val="28"/>
          <w:u w:val="none"/>
        </w:rPr>
        <w:t>4</w:t>
      </w:r>
      <w:r>
        <w:rPr>
          <w:rStyle w:val="a9"/>
          <w:rFonts w:ascii="Times New Roman" w:hAnsi="Times New Roman" w:cs="Times New Roman"/>
          <w:color w:val="auto"/>
          <w:sz w:val="28"/>
          <w:szCs w:val="28"/>
          <w:u w:val="none"/>
        </w:rPr>
        <w:t>]</w:t>
      </w:r>
      <w:r w:rsidR="00EE2E0C" w:rsidRPr="00C57DFA">
        <w:rPr>
          <w:rStyle w:val="a9"/>
          <w:rFonts w:ascii="Times New Roman" w:hAnsi="Times New Roman" w:cs="Times New Roman"/>
          <w:color w:val="auto"/>
          <w:sz w:val="28"/>
          <w:szCs w:val="28"/>
          <w:u w:val="none"/>
        </w:rPr>
        <w:tab/>
      </w:r>
      <w:r w:rsidR="004557CC" w:rsidRPr="00C57DFA">
        <w:rPr>
          <w:rFonts w:ascii="Times New Roman" w:hAnsi="Times New Roman" w:cs="Times New Roman"/>
          <w:sz w:val="28"/>
          <w:szCs w:val="28"/>
        </w:rPr>
        <w:t>J.R. Magnus</w:t>
      </w:r>
      <w:r w:rsidR="005C0E0F" w:rsidRPr="00C57DFA">
        <w:rPr>
          <w:rFonts w:ascii="Times New Roman" w:hAnsi="Times New Roman" w:cs="Times New Roman"/>
          <w:sz w:val="28"/>
          <w:szCs w:val="28"/>
        </w:rPr>
        <w:t xml:space="preserve">, </w:t>
      </w:r>
      <w:r w:rsidR="004557CC" w:rsidRPr="00C57DFA">
        <w:rPr>
          <w:rFonts w:ascii="Times New Roman" w:hAnsi="Times New Roman" w:cs="Times New Roman"/>
          <w:sz w:val="28"/>
          <w:szCs w:val="28"/>
        </w:rPr>
        <w:t xml:space="preserve">Econometrics. Introduction Course: </w:t>
      </w:r>
      <w:r w:rsidR="00EE2E0C" w:rsidRPr="00C57DFA">
        <w:rPr>
          <w:rFonts w:ascii="Times New Roman" w:hAnsi="Times New Roman" w:cs="Times New Roman"/>
          <w:sz w:val="28"/>
          <w:szCs w:val="28"/>
        </w:rPr>
        <w:t>Manual</w:t>
      </w:r>
      <w:r w:rsidR="004557CC" w:rsidRPr="00C57DFA">
        <w:rPr>
          <w:rFonts w:ascii="Times New Roman" w:hAnsi="Times New Roman" w:cs="Times New Roman"/>
          <w:sz w:val="28"/>
          <w:szCs w:val="28"/>
        </w:rPr>
        <w:t>. 6</w:t>
      </w:r>
      <w:r w:rsidR="004557CC" w:rsidRPr="00C57DFA">
        <w:rPr>
          <w:rFonts w:ascii="Times New Roman" w:hAnsi="Times New Roman" w:cs="Times New Roman"/>
          <w:sz w:val="28"/>
          <w:szCs w:val="28"/>
          <w:vertAlign w:val="superscript"/>
        </w:rPr>
        <w:t>th</w:t>
      </w:r>
      <w:r w:rsidR="00C100BC" w:rsidRPr="00C57DFA">
        <w:rPr>
          <w:rFonts w:ascii="Times New Roman" w:hAnsi="Times New Roman" w:cs="Times New Roman"/>
          <w:sz w:val="28"/>
          <w:szCs w:val="28"/>
        </w:rPr>
        <w:t xml:space="preserve"> </w:t>
      </w:r>
      <w:r w:rsidR="004557CC" w:rsidRPr="00C57DFA">
        <w:rPr>
          <w:rFonts w:ascii="Times New Roman" w:hAnsi="Times New Roman" w:cs="Times New Roman"/>
          <w:sz w:val="28"/>
          <w:szCs w:val="28"/>
        </w:rPr>
        <w:t xml:space="preserve">edition, revised and added // P.K. </w:t>
      </w:r>
      <w:proofErr w:type="spellStart"/>
      <w:r w:rsidR="004557CC" w:rsidRPr="00C57DFA">
        <w:rPr>
          <w:rFonts w:ascii="Times New Roman" w:hAnsi="Times New Roman" w:cs="Times New Roman"/>
          <w:sz w:val="28"/>
          <w:szCs w:val="28"/>
        </w:rPr>
        <w:t>Katyshev</w:t>
      </w:r>
      <w:proofErr w:type="spellEnd"/>
      <w:r w:rsidR="004557CC" w:rsidRPr="00C57DFA">
        <w:rPr>
          <w:rFonts w:ascii="Times New Roman" w:hAnsi="Times New Roman" w:cs="Times New Roman"/>
          <w:sz w:val="28"/>
          <w:szCs w:val="28"/>
        </w:rPr>
        <w:t xml:space="preserve">, A.A. </w:t>
      </w:r>
      <w:proofErr w:type="spellStart"/>
      <w:r w:rsidR="004557CC" w:rsidRPr="00C57DFA">
        <w:rPr>
          <w:rFonts w:ascii="Times New Roman" w:hAnsi="Times New Roman" w:cs="Times New Roman"/>
          <w:sz w:val="28"/>
          <w:szCs w:val="28"/>
        </w:rPr>
        <w:t>Peresetsky</w:t>
      </w:r>
      <w:proofErr w:type="spellEnd"/>
      <w:r w:rsidR="004557CC" w:rsidRPr="00C57DFA">
        <w:rPr>
          <w:rFonts w:ascii="Times New Roman" w:hAnsi="Times New Roman" w:cs="Times New Roman"/>
          <w:sz w:val="28"/>
          <w:szCs w:val="28"/>
        </w:rPr>
        <w:t xml:space="preserve">. – Moscow: </w:t>
      </w:r>
      <w:proofErr w:type="spellStart"/>
      <w:r w:rsidR="004557CC" w:rsidRPr="00C57DFA">
        <w:rPr>
          <w:rFonts w:ascii="Times New Roman" w:hAnsi="Times New Roman" w:cs="Times New Roman"/>
          <w:sz w:val="28"/>
          <w:szCs w:val="28"/>
        </w:rPr>
        <w:t>Delo</w:t>
      </w:r>
      <w:proofErr w:type="spellEnd"/>
      <w:r w:rsidR="004557CC" w:rsidRPr="00C57DFA">
        <w:rPr>
          <w:rFonts w:ascii="Times New Roman" w:hAnsi="Times New Roman" w:cs="Times New Roman"/>
          <w:sz w:val="28"/>
          <w:szCs w:val="28"/>
        </w:rPr>
        <w:t xml:space="preserve"> Publishing House, 2004 — 576 pages</w:t>
      </w:r>
    </w:p>
    <w:sectPr w:rsidR="00006C88" w:rsidRPr="00C57DFA" w:rsidSect="00C57DF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C54E3" w14:textId="77777777" w:rsidR="009555F0" w:rsidRDefault="009555F0" w:rsidP="00633B19">
      <w:pPr>
        <w:spacing w:after="0" w:line="240" w:lineRule="auto"/>
      </w:pPr>
      <w:r>
        <w:separator/>
      </w:r>
    </w:p>
  </w:endnote>
  <w:endnote w:type="continuationSeparator" w:id="0">
    <w:p w14:paraId="1D8D901D" w14:textId="77777777" w:rsidR="009555F0" w:rsidRDefault="009555F0" w:rsidP="00633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0A28F5" w14:textId="77777777" w:rsidR="009555F0" w:rsidRDefault="009555F0" w:rsidP="00633B19">
      <w:pPr>
        <w:spacing w:after="0" w:line="240" w:lineRule="auto"/>
      </w:pPr>
      <w:r>
        <w:separator/>
      </w:r>
    </w:p>
  </w:footnote>
  <w:footnote w:type="continuationSeparator" w:id="0">
    <w:p w14:paraId="76783D08" w14:textId="77777777" w:rsidR="009555F0" w:rsidRDefault="009555F0" w:rsidP="00633B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0331"/>
    <w:multiLevelType w:val="hybridMultilevel"/>
    <w:tmpl w:val="7F9C0C9A"/>
    <w:lvl w:ilvl="0" w:tplc="81A4D6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DF92F66"/>
    <w:multiLevelType w:val="hybridMultilevel"/>
    <w:tmpl w:val="2780BDB2"/>
    <w:lvl w:ilvl="0" w:tplc="DF10FE28">
      <w:start w:val="1"/>
      <w:numFmt w:val="decimal"/>
      <w:lvlText w:val="%1"/>
      <w:lvlJc w:val="left"/>
      <w:pPr>
        <w:ind w:left="720" w:hanging="360"/>
      </w:pPr>
      <w:rPr>
        <w:rFonts w:ascii="Times New Roman" w:eastAsiaTheme="minorHAnsi" w:hAnsi="Times New Roman" w:cs="Times New Roman"/>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B60132"/>
    <w:multiLevelType w:val="multilevel"/>
    <w:tmpl w:val="EFFAD8C0"/>
    <w:lvl w:ilvl="0">
      <w:start w:val="2"/>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
    <w:nsid w:val="51F72F9B"/>
    <w:multiLevelType w:val="hybridMultilevel"/>
    <w:tmpl w:val="34389F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C27DAF"/>
    <w:multiLevelType w:val="hybridMultilevel"/>
    <w:tmpl w:val="E446F362"/>
    <w:lvl w:ilvl="0" w:tplc="C486F9D8">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nsid w:val="62A76A09"/>
    <w:multiLevelType w:val="hybridMultilevel"/>
    <w:tmpl w:val="BAD2AB24"/>
    <w:lvl w:ilvl="0" w:tplc="1E90EB04">
      <w:start w:val="1"/>
      <w:numFmt w:val="bullet"/>
      <w:suff w:val="space"/>
      <w:lvlText w:val=""/>
      <w:lvlJc w:val="left"/>
      <w:pPr>
        <w:ind w:left="720" w:hanging="360"/>
      </w:pPr>
      <w:rPr>
        <w:rFonts w:ascii="Symbol" w:hAnsi="Symbol"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65136895"/>
    <w:multiLevelType w:val="hybridMultilevel"/>
    <w:tmpl w:val="60FE4486"/>
    <w:lvl w:ilvl="0" w:tplc="C486F9D8">
      <w:start w:val="1"/>
      <w:numFmt w:val="bullet"/>
      <w:suff w:val="space"/>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66824EAA"/>
    <w:multiLevelType w:val="hybridMultilevel"/>
    <w:tmpl w:val="4A061952"/>
    <w:lvl w:ilvl="0" w:tplc="303834B4">
      <w:start w:val="1"/>
      <w:numFmt w:val="bullet"/>
      <w:suff w:val="space"/>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FD16C5D"/>
    <w:multiLevelType w:val="hybridMultilevel"/>
    <w:tmpl w:val="414A36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7"/>
  </w:num>
  <w:num w:numId="6">
    <w:abstractNumId w:val="2"/>
  </w:num>
  <w:num w:numId="7">
    <w:abstractNumId w:val="5"/>
  </w:num>
  <w:num w:numId="8">
    <w:abstractNumId w:val="6"/>
  </w:num>
  <w:num w:numId="9">
    <w:abstractNumId w:val="4"/>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E85"/>
    <w:rsid w:val="000014F6"/>
    <w:rsid w:val="00006C88"/>
    <w:rsid w:val="000224A6"/>
    <w:rsid w:val="00041D7C"/>
    <w:rsid w:val="000441CC"/>
    <w:rsid w:val="00052609"/>
    <w:rsid w:val="00057556"/>
    <w:rsid w:val="00073EAF"/>
    <w:rsid w:val="000749EC"/>
    <w:rsid w:val="00086F9D"/>
    <w:rsid w:val="00096DE6"/>
    <w:rsid w:val="00097F98"/>
    <w:rsid w:val="000B2A63"/>
    <w:rsid w:val="000B6E04"/>
    <w:rsid w:val="000C46B9"/>
    <w:rsid w:val="000C52B4"/>
    <w:rsid w:val="000D5B1E"/>
    <w:rsid w:val="000E3882"/>
    <w:rsid w:val="000F1D38"/>
    <w:rsid w:val="000F78F9"/>
    <w:rsid w:val="00110C5B"/>
    <w:rsid w:val="0012271C"/>
    <w:rsid w:val="00122C44"/>
    <w:rsid w:val="001265C9"/>
    <w:rsid w:val="00134D56"/>
    <w:rsid w:val="00154515"/>
    <w:rsid w:val="00154BC7"/>
    <w:rsid w:val="00161448"/>
    <w:rsid w:val="00165BD6"/>
    <w:rsid w:val="0018635C"/>
    <w:rsid w:val="001866D2"/>
    <w:rsid w:val="00186B3A"/>
    <w:rsid w:val="00196DC3"/>
    <w:rsid w:val="001C3879"/>
    <w:rsid w:val="001C406A"/>
    <w:rsid w:val="001E4869"/>
    <w:rsid w:val="002015E1"/>
    <w:rsid w:val="00215D2D"/>
    <w:rsid w:val="00222039"/>
    <w:rsid w:val="00222D61"/>
    <w:rsid w:val="002261F3"/>
    <w:rsid w:val="002263F0"/>
    <w:rsid w:val="00231D93"/>
    <w:rsid w:val="00261A16"/>
    <w:rsid w:val="00266BB8"/>
    <w:rsid w:val="00270276"/>
    <w:rsid w:val="00270E36"/>
    <w:rsid w:val="002805F9"/>
    <w:rsid w:val="00287BF1"/>
    <w:rsid w:val="002B13CC"/>
    <w:rsid w:val="002B5AA8"/>
    <w:rsid w:val="002B75D6"/>
    <w:rsid w:val="002D4C8A"/>
    <w:rsid w:val="002E0E96"/>
    <w:rsid w:val="002E13AD"/>
    <w:rsid w:val="002E161A"/>
    <w:rsid w:val="002F00A6"/>
    <w:rsid w:val="002F0425"/>
    <w:rsid w:val="002F0FBA"/>
    <w:rsid w:val="0033214B"/>
    <w:rsid w:val="00332764"/>
    <w:rsid w:val="003444A3"/>
    <w:rsid w:val="0034607A"/>
    <w:rsid w:val="003512D2"/>
    <w:rsid w:val="00354D31"/>
    <w:rsid w:val="00365E7E"/>
    <w:rsid w:val="00377484"/>
    <w:rsid w:val="00377F60"/>
    <w:rsid w:val="00383701"/>
    <w:rsid w:val="003951F7"/>
    <w:rsid w:val="00397B46"/>
    <w:rsid w:val="003C176B"/>
    <w:rsid w:val="00425E85"/>
    <w:rsid w:val="004448F8"/>
    <w:rsid w:val="0045045B"/>
    <w:rsid w:val="004557CC"/>
    <w:rsid w:val="004560E3"/>
    <w:rsid w:val="00465D22"/>
    <w:rsid w:val="00485D9D"/>
    <w:rsid w:val="004871FC"/>
    <w:rsid w:val="004A5D1A"/>
    <w:rsid w:val="004B0B40"/>
    <w:rsid w:val="004C5155"/>
    <w:rsid w:val="004E0252"/>
    <w:rsid w:val="004E6B93"/>
    <w:rsid w:val="004E7023"/>
    <w:rsid w:val="005011C3"/>
    <w:rsid w:val="00501B2F"/>
    <w:rsid w:val="0051280B"/>
    <w:rsid w:val="0051416E"/>
    <w:rsid w:val="0051779F"/>
    <w:rsid w:val="00517B02"/>
    <w:rsid w:val="00523E73"/>
    <w:rsid w:val="005243A4"/>
    <w:rsid w:val="00531CC0"/>
    <w:rsid w:val="00551F15"/>
    <w:rsid w:val="00566150"/>
    <w:rsid w:val="0058406C"/>
    <w:rsid w:val="00584D1B"/>
    <w:rsid w:val="005A099E"/>
    <w:rsid w:val="005B38D1"/>
    <w:rsid w:val="005C0E0F"/>
    <w:rsid w:val="005C189F"/>
    <w:rsid w:val="005D678B"/>
    <w:rsid w:val="005E59D1"/>
    <w:rsid w:val="005E5FC7"/>
    <w:rsid w:val="0060602D"/>
    <w:rsid w:val="006062B5"/>
    <w:rsid w:val="00621742"/>
    <w:rsid w:val="00627639"/>
    <w:rsid w:val="00630645"/>
    <w:rsid w:val="00633B19"/>
    <w:rsid w:val="00677FCC"/>
    <w:rsid w:val="0068682C"/>
    <w:rsid w:val="0069377E"/>
    <w:rsid w:val="006A0373"/>
    <w:rsid w:val="006A3B99"/>
    <w:rsid w:val="006B6EDC"/>
    <w:rsid w:val="006C30ED"/>
    <w:rsid w:val="006C5D3A"/>
    <w:rsid w:val="006E20BE"/>
    <w:rsid w:val="006E7B2B"/>
    <w:rsid w:val="00721573"/>
    <w:rsid w:val="0075020C"/>
    <w:rsid w:val="00751567"/>
    <w:rsid w:val="00763D9B"/>
    <w:rsid w:val="00791B43"/>
    <w:rsid w:val="007A30A5"/>
    <w:rsid w:val="007B590B"/>
    <w:rsid w:val="008042EC"/>
    <w:rsid w:val="0081430C"/>
    <w:rsid w:val="00816E83"/>
    <w:rsid w:val="00845C90"/>
    <w:rsid w:val="00853060"/>
    <w:rsid w:val="00853C8D"/>
    <w:rsid w:val="008540FF"/>
    <w:rsid w:val="00855A2C"/>
    <w:rsid w:val="00861553"/>
    <w:rsid w:val="008621AF"/>
    <w:rsid w:val="00881898"/>
    <w:rsid w:val="008A2413"/>
    <w:rsid w:val="008A53CD"/>
    <w:rsid w:val="008A621D"/>
    <w:rsid w:val="008B3FDB"/>
    <w:rsid w:val="008C2599"/>
    <w:rsid w:val="008C2A4F"/>
    <w:rsid w:val="008D656E"/>
    <w:rsid w:val="008F4866"/>
    <w:rsid w:val="0092240D"/>
    <w:rsid w:val="00940A35"/>
    <w:rsid w:val="009444DA"/>
    <w:rsid w:val="00954167"/>
    <w:rsid w:val="009555F0"/>
    <w:rsid w:val="00986FEE"/>
    <w:rsid w:val="00994F80"/>
    <w:rsid w:val="009A5CB2"/>
    <w:rsid w:val="009B17BB"/>
    <w:rsid w:val="009C3560"/>
    <w:rsid w:val="009C7C9D"/>
    <w:rsid w:val="009E2F44"/>
    <w:rsid w:val="009E4434"/>
    <w:rsid w:val="00A00003"/>
    <w:rsid w:val="00A01616"/>
    <w:rsid w:val="00A07194"/>
    <w:rsid w:val="00A11B66"/>
    <w:rsid w:val="00A12EF3"/>
    <w:rsid w:val="00A41600"/>
    <w:rsid w:val="00A453C6"/>
    <w:rsid w:val="00A733C7"/>
    <w:rsid w:val="00A82DCD"/>
    <w:rsid w:val="00A840C5"/>
    <w:rsid w:val="00A94974"/>
    <w:rsid w:val="00A95D65"/>
    <w:rsid w:val="00AA421A"/>
    <w:rsid w:val="00AA443F"/>
    <w:rsid w:val="00AC3A3E"/>
    <w:rsid w:val="00AC4252"/>
    <w:rsid w:val="00AD1594"/>
    <w:rsid w:val="00AE5900"/>
    <w:rsid w:val="00B06D9A"/>
    <w:rsid w:val="00B101D4"/>
    <w:rsid w:val="00B11B32"/>
    <w:rsid w:val="00B220A7"/>
    <w:rsid w:val="00B34432"/>
    <w:rsid w:val="00B35FCC"/>
    <w:rsid w:val="00B464DA"/>
    <w:rsid w:val="00B70928"/>
    <w:rsid w:val="00B74728"/>
    <w:rsid w:val="00B7654C"/>
    <w:rsid w:val="00B80FA2"/>
    <w:rsid w:val="00B94061"/>
    <w:rsid w:val="00B97AC1"/>
    <w:rsid w:val="00BA210D"/>
    <w:rsid w:val="00BA3061"/>
    <w:rsid w:val="00BA4B5F"/>
    <w:rsid w:val="00BA5F17"/>
    <w:rsid w:val="00BB07E8"/>
    <w:rsid w:val="00BB33B8"/>
    <w:rsid w:val="00BB476E"/>
    <w:rsid w:val="00BB533D"/>
    <w:rsid w:val="00BB655A"/>
    <w:rsid w:val="00BB73EE"/>
    <w:rsid w:val="00BC081D"/>
    <w:rsid w:val="00BC7295"/>
    <w:rsid w:val="00BD1865"/>
    <w:rsid w:val="00BE25EB"/>
    <w:rsid w:val="00BE5E94"/>
    <w:rsid w:val="00BF22BF"/>
    <w:rsid w:val="00C100BC"/>
    <w:rsid w:val="00C16BBA"/>
    <w:rsid w:val="00C17D82"/>
    <w:rsid w:val="00C370A0"/>
    <w:rsid w:val="00C40E37"/>
    <w:rsid w:val="00C43F3C"/>
    <w:rsid w:val="00C448BC"/>
    <w:rsid w:val="00C57DFA"/>
    <w:rsid w:val="00C74565"/>
    <w:rsid w:val="00C82AA4"/>
    <w:rsid w:val="00C9339C"/>
    <w:rsid w:val="00C94FD5"/>
    <w:rsid w:val="00C95ADF"/>
    <w:rsid w:val="00CC1D93"/>
    <w:rsid w:val="00CC723E"/>
    <w:rsid w:val="00CF178D"/>
    <w:rsid w:val="00CF707C"/>
    <w:rsid w:val="00D01CD9"/>
    <w:rsid w:val="00D15AF0"/>
    <w:rsid w:val="00D26121"/>
    <w:rsid w:val="00D27D65"/>
    <w:rsid w:val="00D34786"/>
    <w:rsid w:val="00D353FB"/>
    <w:rsid w:val="00D5030A"/>
    <w:rsid w:val="00D52112"/>
    <w:rsid w:val="00D65941"/>
    <w:rsid w:val="00D66FDB"/>
    <w:rsid w:val="00D77854"/>
    <w:rsid w:val="00D82706"/>
    <w:rsid w:val="00D83B17"/>
    <w:rsid w:val="00D861AF"/>
    <w:rsid w:val="00DA2514"/>
    <w:rsid w:val="00DA39A2"/>
    <w:rsid w:val="00DA3BB1"/>
    <w:rsid w:val="00DA547D"/>
    <w:rsid w:val="00DC54B8"/>
    <w:rsid w:val="00DE51C0"/>
    <w:rsid w:val="00DF08F8"/>
    <w:rsid w:val="00DF77D9"/>
    <w:rsid w:val="00E02804"/>
    <w:rsid w:val="00E145AF"/>
    <w:rsid w:val="00E20328"/>
    <w:rsid w:val="00E21D19"/>
    <w:rsid w:val="00E21D7E"/>
    <w:rsid w:val="00E22A8F"/>
    <w:rsid w:val="00E303D1"/>
    <w:rsid w:val="00E5688C"/>
    <w:rsid w:val="00E601AE"/>
    <w:rsid w:val="00E61379"/>
    <w:rsid w:val="00E672CE"/>
    <w:rsid w:val="00E70158"/>
    <w:rsid w:val="00E709B7"/>
    <w:rsid w:val="00E75825"/>
    <w:rsid w:val="00E77942"/>
    <w:rsid w:val="00E831B4"/>
    <w:rsid w:val="00E87004"/>
    <w:rsid w:val="00E93F76"/>
    <w:rsid w:val="00E9540F"/>
    <w:rsid w:val="00E9799A"/>
    <w:rsid w:val="00EA0EB1"/>
    <w:rsid w:val="00EA2F1A"/>
    <w:rsid w:val="00EA6230"/>
    <w:rsid w:val="00EA635D"/>
    <w:rsid w:val="00EB0861"/>
    <w:rsid w:val="00EE2E0C"/>
    <w:rsid w:val="00F26213"/>
    <w:rsid w:val="00F377BA"/>
    <w:rsid w:val="00F53C99"/>
    <w:rsid w:val="00F57440"/>
    <w:rsid w:val="00F66B25"/>
    <w:rsid w:val="00F93229"/>
    <w:rsid w:val="00FA5A24"/>
    <w:rsid w:val="00FB6DA0"/>
    <w:rsid w:val="00FE5213"/>
    <w:rsid w:val="00FE6FC0"/>
    <w:rsid w:val="00FF4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7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D9B"/>
    <w:pPr>
      <w:spacing w:after="200" w:line="276" w:lineRule="auto"/>
    </w:pPr>
  </w:style>
  <w:style w:type="paragraph" w:styleId="1">
    <w:name w:val="heading 1"/>
    <w:basedOn w:val="a"/>
    <w:next w:val="a"/>
    <w:link w:val="10"/>
    <w:uiPriority w:val="9"/>
    <w:qFormat/>
    <w:rsid w:val="00763D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8621A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1AF"/>
    <w:pPr>
      <w:ind w:left="720"/>
      <w:contextualSpacing/>
    </w:pPr>
  </w:style>
  <w:style w:type="character" w:customStyle="1" w:styleId="20">
    <w:name w:val="Заголовок 2 Знак"/>
    <w:basedOn w:val="a0"/>
    <w:link w:val="2"/>
    <w:uiPriority w:val="9"/>
    <w:rsid w:val="008621AF"/>
    <w:rPr>
      <w:rFonts w:asciiTheme="majorHAnsi" w:eastAsiaTheme="majorEastAsia" w:hAnsiTheme="majorHAnsi" w:cstheme="majorBidi"/>
      <w:b/>
      <w:bCs/>
      <w:color w:val="5B9BD5" w:themeColor="accent1"/>
      <w:sz w:val="26"/>
      <w:szCs w:val="26"/>
      <w:lang w:val="en-US"/>
    </w:rPr>
  </w:style>
  <w:style w:type="character" w:customStyle="1" w:styleId="10">
    <w:name w:val="Заголовок 1 Знак"/>
    <w:basedOn w:val="a0"/>
    <w:link w:val="1"/>
    <w:uiPriority w:val="9"/>
    <w:rsid w:val="00763D9B"/>
    <w:rPr>
      <w:rFonts w:asciiTheme="majorHAnsi" w:eastAsiaTheme="majorEastAsia" w:hAnsiTheme="majorHAnsi" w:cstheme="majorBidi"/>
      <w:color w:val="2E74B5" w:themeColor="accent1" w:themeShade="BF"/>
      <w:sz w:val="32"/>
      <w:szCs w:val="32"/>
    </w:rPr>
  </w:style>
  <w:style w:type="paragraph" w:customStyle="1" w:styleId="u">
    <w:name w:val="u"/>
    <w:basedOn w:val="a"/>
    <w:rsid w:val="00763D9B"/>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763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endnote text"/>
    <w:basedOn w:val="a"/>
    <w:link w:val="a6"/>
    <w:uiPriority w:val="99"/>
    <w:semiHidden/>
    <w:unhideWhenUsed/>
    <w:rsid w:val="00633B19"/>
    <w:pPr>
      <w:spacing w:after="0" w:line="240" w:lineRule="auto"/>
    </w:pPr>
    <w:rPr>
      <w:sz w:val="20"/>
      <w:szCs w:val="20"/>
    </w:rPr>
  </w:style>
  <w:style w:type="character" w:customStyle="1" w:styleId="a6">
    <w:name w:val="Текст концевой сноски Знак"/>
    <w:basedOn w:val="a0"/>
    <w:link w:val="a5"/>
    <w:uiPriority w:val="99"/>
    <w:semiHidden/>
    <w:rsid w:val="00633B19"/>
    <w:rPr>
      <w:sz w:val="20"/>
      <w:szCs w:val="20"/>
      <w:lang w:val="en-US"/>
    </w:rPr>
  </w:style>
  <w:style w:type="character" w:styleId="a7">
    <w:name w:val="endnote reference"/>
    <w:basedOn w:val="a0"/>
    <w:uiPriority w:val="99"/>
    <w:semiHidden/>
    <w:unhideWhenUsed/>
    <w:rsid w:val="00633B19"/>
    <w:rPr>
      <w:vertAlign w:val="superscript"/>
    </w:rPr>
  </w:style>
  <w:style w:type="character" w:styleId="a8">
    <w:name w:val="Placeholder Text"/>
    <w:basedOn w:val="a0"/>
    <w:uiPriority w:val="99"/>
    <w:semiHidden/>
    <w:rsid w:val="00165BD6"/>
    <w:rPr>
      <w:color w:val="808080"/>
    </w:rPr>
  </w:style>
  <w:style w:type="character" w:styleId="a9">
    <w:name w:val="Hyperlink"/>
    <w:basedOn w:val="a0"/>
    <w:uiPriority w:val="99"/>
    <w:unhideWhenUsed/>
    <w:rsid w:val="00721573"/>
    <w:rPr>
      <w:color w:val="0563C1" w:themeColor="hyperlink"/>
      <w:u w:val="single"/>
    </w:rPr>
  </w:style>
  <w:style w:type="paragraph" w:styleId="aa">
    <w:name w:val="Balloon Text"/>
    <w:basedOn w:val="a"/>
    <w:link w:val="ab"/>
    <w:uiPriority w:val="99"/>
    <w:semiHidden/>
    <w:unhideWhenUsed/>
    <w:rsid w:val="008540F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540FF"/>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D9B"/>
    <w:pPr>
      <w:spacing w:after="200" w:line="276" w:lineRule="auto"/>
    </w:pPr>
  </w:style>
  <w:style w:type="paragraph" w:styleId="1">
    <w:name w:val="heading 1"/>
    <w:basedOn w:val="a"/>
    <w:next w:val="a"/>
    <w:link w:val="10"/>
    <w:uiPriority w:val="9"/>
    <w:qFormat/>
    <w:rsid w:val="00763D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8621A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1AF"/>
    <w:pPr>
      <w:ind w:left="720"/>
      <w:contextualSpacing/>
    </w:pPr>
  </w:style>
  <w:style w:type="character" w:customStyle="1" w:styleId="20">
    <w:name w:val="Заголовок 2 Знак"/>
    <w:basedOn w:val="a0"/>
    <w:link w:val="2"/>
    <w:uiPriority w:val="9"/>
    <w:rsid w:val="008621AF"/>
    <w:rPr>
      <w:rFonts w:asciiTheme="majorHAnsi" w:eastAsiaTheme="majorEastAsia" w:hAnsiTheme="majorHAnsi" w:cstheme="majorBidi"/>
      <w:b/>
      <w:bCs/>
      <w:color w:val="5B9BD5" w:themeColor="accent1"/>
      <w:sz w:val="26"/>
      <w:szCs w:val="26"/>
      <w:lang w:val="en-US"/>
    </w:rPr>
  </w:style>
  <w:style w:type="character" w:customStyle="1" w:styleId="10">
    <w:name w:val="Заголовок 1 Знак"/>
    <w:basedOn w:val="a0"/>
    <w:link w:val="1"/>
    <w:uiPriority w:val="9"/>
    <w:rsid w:val="00763D9B"/>
    <w:rPr>
      <w:rFonts w:asciiTheme="majorHAnsi" w:eastAsiaTheme="majorEastAsia" w:hAnsiTheme="majorHAnsi" w:cstheme="majorBidi"/>
      <w:color w:val="2E74B5" w:themeColor="accent1" w:themeShade="BF"/>
      <w:sz w:val="32"/>
      <w:szCs w:val="32"/>
    </w:rPr>
  </w:style>
  <w:style w:type="paragraph" w:customStyle="1" w:styleId="u">
    <w:name w:val="u"/>
    <w:basedOn w:val="a"/>
    <w:rsid w:val="00763D9B"/>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763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endnote text"/>
    <w:basedOn w:val="a"/>
    <w:link w:val="a6"/>
    <w:uiPriority w:val="99"/>
    <w:semiHidden/>
    <w:unhideWhenUsed/>
    <w:rsid w:val="00633B19"/>
    <w:pPr>
      <w:spacing w:after="0" w:line="240" w:lineRule="auto"/>
    </w:pPr>
    <w:rPr>
      <w:sz w:val="20"/>
      <w:szCs w:val="20"/>
    </w:rPr>
  </w:style>
  <w:style w:type="character" w:customStyle="1" w:styleId="a6">
    <w:name w:val="Текст концевой сноски Знак"/>
    <w:basedOn w:val="a0"/>
    <w:link w:val="a5"/>
    <w:uiPriority w:val="99"/>
    <w:semiHidden/>
    <w:rsid w:val="00633B19"/>
    <w:rPr>
      <w:sz w:val="20"/>
      <w:szCs w:val="20"/>
      <w:lang w:val="en-US"/>
    </w:rPr>
  </w:style>
  <w:style w:type="character" w:styleId="a7">
    <w:name w:val="endnote reference"/>
    <w:basedOn w:val="a0"/>
    <w:uiPriority w:val="99"/>
    <w:semiHidden/>
    <w:unhideWhenUsed/>
    <w:rsid w:val="00633B19"/>
    <w:rPr>
      <w:vertAlign w:val="superscript"/>
    </w:rPr>
  </w:style>
  <w:style w:type="character" w:styleId="a8">
    <w:name w:val="Placeholder Text"/>
    <w:basedOn w:val="a0"/>
    <w:uiPriority w:val="99"/>
    <w:semiHidden/>
    <w:rsid w:val="00165BD6"/>
    <w:rPr>
      <w:color w:val="808080"/>
    </w:rPr>
  </w:style>
  <w:style w:type="character" w:styleId="a9">
    <w:name w:val="Hyperlink"/>
    <w:basedOn w:val="a0"/>
    <w:uiPriority w:val="99"/>
    <w:unhideWhenUsed/>
    <w:rsid w:val="00721573"/>
    <w:rPr>
      <w:color w:val="0563C1" w:themeColor="hyperlink"/>
      <w:u w:val="single"/>
    </w:rPr>
  </w:style>
  <w:style w:type="paragraph" w:styleId="aa">
    <w:name w:val="Balloon Text"/>
    <w:basedOn w:val="a"/>
    <w:link w:val="ab"/>
    <w:uiPriority w:val="99"/>
    <w:semiHidden/>
    <w:unhideWhenUsed/>
    <w:rsid w:val="008540F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540FF"/>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9294">
      <w:bodyDiv w:val="1"/>
      <w:marLeft w:val="0"/>
      <w:marRight w:val="0"/>
      <w:marTop w:val="0"/>
      <w:marBottom w:val="0"/>
      <w:divBdr>
        <w:top w:val="none" w:sz="0" w:space="0" w:color="auto"/>
        <w:left w:val="none" w:sz="0" w:space="0" w:color="auto"/>
        <w:bottom w:val="none" w:sz="0" w:space="0" w:color="auto"/>
        <w:right w:val="none" w:sz="0" w:space="0" w:color="auto"/>
      </w:divBdr>
    </w:div>
    <w:div w:id="57557108">
      <w:bodyDiv w:val="1"/>
      <w:marLeft w:val="0"/>
      <w:marRight w:val="0"/>
      <w:marTop w:val="0"/>
      <w:marBottom w:val="0"/>
      <w:divBdr>
        <w:top w:val="none" w:sz="0" w:space="0" w:color="auto"/>
        <w:left w:val="none" w:sz="0" w:space="0" w:color="auto"/>
        <w:bottom w:val="none" w:sz="0" w:space="0" w:color="auto"/>
        <w:right w:val="none" w:sz="0" w:space="0" w:color="auto"/>
      </w:divBdr>
    </w:div>
    <w:div w:id="115295542">
      <w:bodyDiv w:val="1"/>
      <w:marLeft w:val="0"/>
      <w:marRight w:val="0"/>
      <w:marTop w:val="0"/>
      <w:marBottom w:val="0"/>
      <w:divBdr>
        <w:top w:val="none" w:sz="0" w:space="0" w:color="auto"/>
        <w:left w:val="none" w:sz="0" w:space="0" w:color="auto"/>
        <w:bottom w:val="none" w:sz="0" w:space="0" w:color="auto"/>
        <w:right w:val="none" w:sz="0" w:space="0" w:color="auto"/>
      </w:divBdr>
    </w:div>
    <w:div w:id="429276768">
      <w:bodyDiv w:val="1"/>
      <w:marLeft w:val="0"/>
      <w:marRight w:val="0"/>
      <w:marTop w:val="0"/>
      <w:marBottom w:val="0"/>
      <w:divBdr>
        <w:top w:val="none" w:sz="0" w:space="0" w:color="auto"/>
        <w:left w:val="none" w:sz="0" w:space="0" w:color="auto"/>
        <w:bottom w:val="none" w:sz="0" w:space="0" w:color="auto"/>
        <w:right w:val="none" w:sz="0" w:space="0" w:color="auto"/>
      </w:divBdr>
    </w:div>
    <w:div w:id="513612474">
      <w:bodyDiv w:val="1"/>
      <w:marLeft w:val="0"/>
      <w:marRight w:val="0"/>
      <w:marTop w:val="0"/>
      <w:marBottom w:val="0"/>
      <w:divBdr>
        <w:top w:val="none" w:sz="0" w:space="0" w:color="auto"/>
        <w:left w:val="none" w:sz="0" w:space="0" w:color="auto"/>
        <w:bottom w:val="none" w:sz="0" w:space="0" w:color="auto"/>
        <w:right w:val="none" w:sz="0" w:space="0" w:color="auto"/>
      </w:divBdr>
    </w:div>
    <w:div w:id="580408441">
      <w:bodyDiv w:val="1"/>
      <w:marLeft w:val="0"/>
      <w:marRight w:val="0"/>
      <w:marTop w:val="0"/>
      <w:marBottom w:val="0"/>
      <w:divBdr>
        <w:top w:val="none" w:sz="0" w:space="0" w:color="auto"/>
        <w:left w:val="none" w:sz="0" w:space="0" w:color="auto"/>
        <w:bottom w:val="none" w:sz="0" w:space="0" w:color="auto"/>
        <w:right w:val="none" w:sz="0" w:space="0" w:color="auto"/>
      </w:divBdr>
    </w:div>
    <w:div w:id="649748969">
      <w:bodyDiv w:val="1"/>
      <w:marLeft w:val="0"/>
      <w:marRight w:val="0"/>
      <w:marTop w:val="0"/>
      <w:marBottom w:val="0"/>
      <w:divBdr>
        <w:top w:val="none" w:sz="0" w:space="0" w:color="auto"/>
        <w:left w:val="none" w:sz="0" w:space="0" w:color="auto"/>
        <w:bottom w:val="none" w:sz="0" w:space="0" w:color="auto"/>
        <w:right w:val="none" w:sz="0" w:space="0" w:color="auto"/>
      </w:divBdr>
    </w:div>
    <w:div w:id="655568187">
      <w:bodyDiv w:val="1"/>
      <w:marLeft w:val="0"/>
      <w:marRight w:val="0"/>
      <w:marTop w:val="0"/>
      <w:marBottom w:val="0"/>
      <w:divBdr>
        <w:top w:val="none" w:sz="0" w:space="0" w:color="auto"/>
        <w:left w:val="none" w:sz="0" w:space="0" w:color="auto"/>
        <w:bottom w:val="none" w:sz="0" w:space="0" w:color="auto"/>
        <w:right w:val="none" w:sz="0" w:space="0" w:color="auto"/>
      </w:divBdr>
    </w:div>
    <w:div w:id="754597001">
      <w:bodyDiv w:val="1"/>
      <w:marLeft w:val="0"/>
      <w:marRight w:val="0"/>
      <w:marTop w:val="0"/>
      <w:marBottom w:val="0"/>
      <w:divBdr>
        <w:top w:val="none" w:sz="0" w:space="0" w:color="auto"/>
        <w:left w:val="none" w:sz="0" w:space="0" w:color="auto"/>
        <w:bottom w:val="none" w:sz="0" w:space="0" w:color="auto"/>
        <w:right w:val="none" w:sz="0" w:space="0" w:color="auto"/>
      </w:divBdr>
    </w:div>
    <w:div w:id="873418414">
      <w:bodyDiv w:val="1"/>
      <w:marLeft w:val="0"/>
      <w:marRight w:val="0"/>
      <w:marTop w:val="0"/>
      <w:marBottom w:val="0"/>
      <w:divBdr>
        <w:top w:val="none" w:sz="0" w:space="0" w:color="auto"/>
        <w:left w:val="none" w:sz="0" w:space="0" w:color="auto"/>
        <w:bottom w:val="none" w:sz="0" w:space="0" w:color="auto"/>
        <w:right w:val="none" w:sz="0" w:space="0" w:color="auto"/>
      </w:divBdr>
    </w:div>
    <w:div w:id="892734082">
      <w:bodyDiv w:val="1"/>
      <w:marLeft w:val="0"/>
      <w:marRight w:val="0"/>
      <w:marTop w:val="0"/>
      <w:marBottom w:val="0"/>
      <w:divBdr>
        <w:top w:val="none" w:sz="0" w:space="0" w:color="auto"/>
        <w:left w:val="none" w:sz="0" w:space="0" w:color="auto"/>
        <w:bottom w:val="none" w:sz="0" w:space="0" w:color="auto"/>
        <w:right w:val="none" w:sz="0" w:space="0" w:color="auto"/>
      </w:divBdr>
    </w:div>
    <w:div w:id="896358880">
      <w:bodyDiv w:val="1"/>
      <w:marLeft w:val="0"/>
      <w:marRight w:val="0"/>
      <w:marTop w:val="0"/>
      <w:marBottom w:val="0"/>
      <w:divBdr>
        <w:top w:val="none" w:sz="0" w:space="0" w:color="auto"/>
        <w:left w:val="none" w:sz="0" w:space="0" w:color="auto"/>
        <w:bottom w:val="none" w:sz="0" w:space="0" w:color="auto"/>
        <w:right w:val="none" w:sz="0" w:space="0" w:color="auto"/>
      </w:divBdr>
    </w:div>
    <w:div w:id="933977887">
      <w:bodyDiv w:val="1"/>
      <w:marLeft w:val="0"/>
      <w:marRight w:val="0"/>
      <w:marTop w:val="0"/>
      <w:marBottom w:val="0"/>
      <w:divBdr>
        <w:top w:val="none" w:sz="0" w:space="0" w:color="auto"/>
        <w:left w:val="none" w:sz="0" w:space="0" w:color="auto"/>
        <w:bottom w:val="none" w:sz="0" w:space="0" w:color="auto"/>
        <w:right w:val="none" w:sz="0" w:space="0" w:color="auto"/>
      </w:divBdr>
    </w:div>
    <w:div w:id="1139759373">
      <w:bodyDiv w:val="1"/>
      <w:marLeft w:val="0"/>
      <w:marRight w:val="0"/>
      <w:marTop w:val="0"/>
      <w:marBottom w:val="0"/>
      <w:divBdr>
        <w:top w:val="none" w:sz="0" w:space="0" w:color="auto"/>
        <w:left w:val="none" w:sz="0" w:space="0" w:color="auto"/>
        <w:bottom w:val="none" w:sz="0" w:space="0" w:color="auto"/>
        <w:right w:val="none" w:sz="0" w:space="0" w:color="auto"/>
      </w:divBdr>
    </w:div>
    <w:div w:id="1204634640">
      <w:bodyDiv w:val="1"/>
      <w:marLeft w:val="0"/>
      <w:marRight w:val="0"/>
      <w:marTop w:val="0"/>
      <w:marBottom w:val="0"/>
      <w:divBdr>
        <w:top w:val="none" w:sz="0" w:space="0" w:color="auto"/>
        <w:left w:val="none" w:sz="0" w:space="0" w:color="auto"/>
        <w:bottom w:val="none" w:sz="0" w:space="0" w:color="auto"/>
        <w:right w:val="none" w:sz="0" w:space="0" w:color="auto"/>
      </w:divBdr>
    </w:div>
    <w:div w:id="1215120955">
      <w:bodyDiv w:val="1"/>
      <w:marLeft w:val="0"/>
      <w:marRight w:val="0"/>
      <w:marTop w:val="0"/>
      <w:marBottom w:val="0"/>
      <w:divBdr>
        <w:top w:val="none" w:sz="0" w:space="0" w:color="auto"/>
        <w:left w:val="none" w:sz="0" w:space="0" w:color="auto"/>
        <w:bottom w:val="none" w:sz="0" w:space="0" w:color="auto"/>
        <w:right w:val="none" w:sz="0" w:space="0" w:color="auto"/>
      </w:divBdr>
    </w:div>
    <w:div w:id="1255169613">
      <w:bodyDiv w:val="1"/>
      <w:marLeft w:val="0"/>
      <w:marRight w:val="0"/>
      <w:marTop w:val="0"/>
      <w:marBottom w:val="0"/>
      <w:divBdr>
        <w:top w:val="none" w:sz="0" w:space="0" w:color="auto"/>
        <w:left w:val="none" w:sz="0" w:space="0" w:color="auto"/>
        <w:bottom w:val="none" w:sz="0" w:space="0" w:color="auto"/>
        <w:right w:val="none" w:sz="0" w:space="0" w:color="auto"/>
      </w:divBdr>
    </w:div>
    <w:div w:id="1508133162">
      <w:bodyDiv w:val="1"/>
      <w:marLeft w:val="0"/>
      <w:marRight w:val="0"/>
      <w:marTop w:val="0"/>
      <w:marBottom w:val="0"/>
      <w:divBdr>
        <w:top w:val="none" w:sz="0" w:space="0" w:color="auto"/>
        <w:left w:val="none" w:sz="0" w:space="0" w:color="auto"/>
        <w:bottom w:val="none" w:sz="0" w:space="0" w:color="auto"/>
        <w:right w:val="none" w:sz="0" w:space="0" w:color="auto"/>
      </w:divBdr>
    </w:div>
    <w:div w:id="1523738884">
      <w:bodyDiv w:val="1"/>
      <w:marLeft w:val="0"/>
      <w:marRight w:val="0"/>
      <w:marTop w:val="0"/>
      <w:marBottom w:val="0"/>
      <w:divBdr>
        <w:top w:val="none" w:sz="0" w:space="0" w:color="auto"/>
        <w:left w:val="none" w:sz="0" w:space="0" w:color="auto"/>
        <w:bottom w:val="none" w:sz="0" w:space="0" w:color="auto"/>
        <w:right w:val="none" w:sz="0" w:space="0" w:color="auto"/>
      </w:divBdr>
    </w:div>
    <w:div w:id="1552379979">
      <w:bodyDiv w:val="1"/>
      <w:marLeft w:val="0"/>
      <w:marRight w:val="0"/>
      <w:marTop w:val="0"/>
      <w:marBottom w:val="0"/>
      <w:divBdr>
        <w:top w:val="none" w:sz="0" w:space="0" w:color="auto"/>
        <w:left w:val="none" w:sz="0" w:space="0" w:color="auto"/>
        <w:bottom w:val="none" w:sz="0" w:space="0" w:color="auto"/>
        <w:right w:val="none" w:sz="0" w:space="0" w:color="auto"/>
      </w:divBdr>
    </w:div>
    <w:div w:id="1684624543">
      <w:bodyDiv w:val="1"/>
      <w:marLeft w:val="0"/>
      <w:marRight w:val="0"/>
      <w:marTop w:val="0"/>
      <w:marBottom w:val="0"/>
      <w:divBdr>
        <w:top w:val="none" w:sz="0" w:space="0" w:color="auto"/>
        <w:left w:val="none" w:sz="0" w:space="0" w:color="auto"/>
        <w:bottom w:val="none" w:sz="0" w:space="0" w:color="auto"/>
        <w:right w:val="none" w:sz="0" w:space="0" w:color="auto"/>
      </w:divBdr>
    </w:div>
    <w:div w:id="1772044369">
      <w:bodyDiv w:val="1"/>
      <w:marLeft w:val="0"/>
      <w:marRight w:val="0"/>
      <w:marTop w:val="0"/>
      <w:marBottom w:val="0"/>
      <w:divBdr>
        <w:top w:val="none" w:sz="0" w:space="0" w:color="auto"/>
        <w:left w:val="none" w:sz="0" w:space="0" w:color="auto"/>
        <w:bottom w:val="none" w:sz="0" w:space="0" w:color="auto"/>
        <w:right w:val="none" w:sz="0" w:space="0" w:color="auto"/>
      </w:divBdr>
    </w:div>
    <w:div w:id="1801221232">
      <w:bodyDiv w:val="1"/>
      <w:marLeft w:val="0"/>
      <w:marRight w:val="0"/>
      <w:marTop w:val="0"/>
      <w:marBottom w:val="0"/>
      <w:divBdr>
        <w:top w:val="none" w:sz="0" w:space="0" w:color="auto"/>
        <w:left w:val="none" w:sz="0" w:space="0" w:color="auto"/>
        <w:bottom w:val="none" w:sz="0" w:space="0" w:color="auto"/>
        <w:right w:val="none" w:sz="0" w:space="0" w:color="auto"/>
      </w:divBdr>
    </w:div>
    <w:div w:id="199474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orcid.org/0000-0002-7578-1353"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3D91B-1015-4896-A258-9FE422470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2197</Words>
  <Characters>12529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Ulanova Zhannat</dc:creator>
  <cp:lastModifiedBy>User</cp:lastModifiedBy>
  <cp:revision>2</cp:revision>
  <cp:lastPrinted>2016-11-18T11:18:00Z</cp:lastPrinted>
  <dcterms:created xsi:type="dcterms:W3CDTF">2017-11-30T10:56:00Z</dcterms:created>
  <dcterms:modified xsi:type="dcterms:W3CDTF">2017-11-30T10:56:00Z</dcterms:modified>
</cp:coreProperties>
</file>