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CDC" w:rsidRPr="002000C7" w:rsidRDefault="00A25DA0" w:rsidP="002000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="00EC684E" w:rsidRPr="00E478E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ssue of </w:t>
      </w:r>
      <w:r w:rsidR="00CB2D1E" w:rsidRPr="00CB2D1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money laundering risks </w:t>
      </w:r>
      <w:r w:rsidR="00EC684E" w:rsidRPr="00E478E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identification in the activity of the organizations and individual entrepreneurs engaged in the mining, production, use and </w:t>
      </w:r>
      <w:r w:rsidR="00CD6D89" w:rsidRPr="00E478E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circulation of precious metals and precious stones</w:t>
      </w:r>
    </w:p>
    <w:p w:rsidR="002000C7" w:rsidRPr="002000C7" w:rsidRDefault="002000C7" w:rsidP="002000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F64CDC" w:rsidRPr="00F64CDC" w:rsidRDefault="00501E5F" w:rsidP="002000C7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val="en-US" w:eastAsia="ru-RU"/>
        </w:rPr>
      </w:pPr>
      <w:r w:rsidRPr="00F64CDC">
        <w:rPr>
          <w:rFonts w:ascii="Times New Roman" w:eastAsia="Times New Roman" w:hAnsi="Times New Roman" w:cs="Times New Roman"/>
          <w:b/>
          <w:bCs/>
          <w:sz w:val="24"/>
          <w:szCs w:val="28"/>
          <w:lang w:val="en-US" w:eastAsia="ru-RU"/>
        </w:rPr>
        <w:t>A.S. Vorobe</w:t>
      </w:r>
      <w:r w:rsidR="00DB24A0" w:rsidRPr="00F64CDC">
        <w:rPr>
          <w:rFonts w:ascii="Times New Roman" w:eastAsia="Times New Roman" w:hAnsi="Times New Roman" w:cs="Times New Roman"/>
          <w:b/>
          <w:bCs/>
          <w:sz w:val="24"/>
          <w:szCs w:val="28"/>
          <w:lang w:val="en-US" w:eastAsia="ru-RU"/>
        </w:rPr>
        <w:t>va</w:t>
      </w:r>
      <w:r w:rsidR="00F64CDC" w:rsidRPr="00F64CDC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1</w:t>
      </w:r>
      <w:r w:rsidR="00DB24A0" w:rsidRPr="00F64CDC">
        <w:rPr>
          <w:rFonts w:ascii="Times New Roman" w:eastAsia="Times New Roman" w:hAnsi="Times New Roman" w:cs="Times New Roman"/>
          <w:b/>
          <w:bCs/>
          <w:sz w:val="24"/>
          <w:szCs w:val="28"/>
          <w:lang w:val="en-US" w:eastAsia="ru-RU"/>
        </w:rPr>
        <w:t xml:space="preserve">, </w:t>
      </w:r>
      <w:r w:rsidR="00F64CDC" w:rsidRPr="00F64CDC">
        <w:rPr>
          <w:rFonts w:ascii="Times New Roman" w:eastAsia="Times New Roman" w:hAnsi="Times New Roman" w:cs="Times New Roman"/>
          <w:b/>
          <w:bCs/>
          <w:sz w:val="24"/>
          <w:szCs w:val="28"/>
          <w:lang w:val="en-US" w:eastAsia="ru-RU"/>
        </w:rPr>
        <w:t>V.V. Zhdanovich</w:t>
      </w:r>
      <w:r w:rsidR="00F64CDC" w:rsidRPr="00F64CDC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  <w:r w:rsidR="00F64CDC" w:rsidRPr="00F64CDC">
        <w:rPr>
          <w:rFonts w:ascii="Times New Roman" w:eastAsia="Times New Roman" w:hAnsi="Times New Roman" w:cs="Times New Roman"/>
          <w:b/>
          <w:bCs/>
          <w:sz w:val="24"/>
          <w:szCs w:val="28"/>
          <w:lang w:val="en-US" w:eastAsia="ru-RU"/>
        </w:rPr>
        <w:t>, E.A.</w:t>
      </w:r>
      <w:r w:rsidR="00F64CDC" w:rsidRPr="00F64CDC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 xml:space="preserve"> </w:t>
      </w:r>
      <w:r w:rsidR="00F64CDC" w:rsidRPr="00F64CDC">
        <w:rPr>
          <w:rFonts w:ascii="Times New Roman" w:eastAsia="Times New Roman" w:hAnsi="Times New Roman" w:cs="Times New Roman"/>
          <w:b/>
          <w:bCs/>
          <w:sz w:val="24"/>
          <w:szCs w:val="28"/>
          <w:lang w:val="en-US" w:eastAsia="ru-RU"/>
        </w:rPr>
        <w:t>Kosova</w:t>
      </w:r>
      <w:r w:rsidR="00F64CDC" w:rsidRPr="00F64CDC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1</w:t>
      </w:r>
      <w:r w:rsidR="00F64CDC" w:rsidRPr="00F64CDC">
        <w:rPr>
          <w:rFonts w:ascii="Times New Roman" w:eastAsia="Times New Roman" w:hAnsi="Times New Roman" w:cs="Times New Roman"/>
          <w:b/>
          <w:bCs/>
          <w:sz w:val="24"/>
          <w:szCs w:val="28"/>
          <w:lang w:val="en-US" w:eastAsia="ru-RU"/>
        </w:rPr>
        <w:t>, P.Y. Leonov</w:t>
      </w:r>
      <w:r w:rsidR="00F64CDC" w:rsidRPr="00F64CDC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1</w:t>
      </w:r>
      <w:r w:rsidR="00F64CDC" w:rsidRPr="00F64CDC">
        <w:rPr>
          <w:rFonts w:ascii="Times New Roman" w:eastAsia="Times New Roman" w:hAnsi="Times New Roman" w:cs="Times New Roman"/>
          <w:b/>
          <w:bCs/>
          <w:sz w:val="24"/>
          <w:szCs w:val="28"/>
          <w:lang w:val="en-US" w:eastAsia="ru-RU"/>
        </w:rPr>
        <w:t>.</w:t>
      </w:r>
    </w:p>
    <w:p w:rsidR="00F64CDC" w:rsidRPr="00F64CDC" w:rsidRDefault="00F64CDC" w:rsidP="002000C7">
      <w:pPr>
        <w:spacing w:after="0"/>
        <w:ind w:left="567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64CD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vertAlign w:val="superscript"/>
          <w:lang w:val="en-US"/>
        </w:rPr>
        <w:t xml:space="preserve">1 </w:t>
      </w:r>
      <w:r w:rsidRPr="00F64CDC">
        <w:rPr>
          <w:rFonts w:ascii="Times New Roman" w:hAnsi="Times New Roman" w:cs="Times New Roman"/>
          <w:i/>
          <w:sz w:val="24"/>
          <w:szCs w:val="24"/>
          <w:lang w:val="en-US"/>
        </w:rPr>
        <w:t xml:space="preserve">National Research Nuclear University </w:t>
      </w:r>
      <w:proofErr w:type="spellStart"/>
      <w:r w:rsidRPr="00F64CDC">
        <w:rPr>
          <w:rFonts w:ascii="Times New Roman" w:hAnsi="Times New Roman" w:cs="Times New Roman"/>
          <w:i/>
          <w:sz w:val="24"/>
          <w:szCs w:val="24"/>
          <w:lang w:val="en-US"/>
        </w:rPr>
        <w:t>MEPhI</w:t>
      </w:r>
      <w:proofErr w:type="spellEnd"/>
      <w:r w:rsidRPr="00F64CD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(Moscow Engineering Physics Institute), </w:t>
      </w:r>
      <w:r w:rsidRPr="00F64CDC">
        <w:rPr>
          <w:rFonts w:ascii="Times New Roman" w:hAnsi="Times New Roman" w:cs="Times New Roman"/>
          <w:i/>
          <w:sz w:val="24"/>
          <w:szCs w:val="24"/>
          <w:lang w:val="en-US"/>
        </w:rPr>
        <w:br/>
      </w:r>
      <w:proofErr w:type="spellStart"/>
      <w:r w:rsidRPr="00F64CDC">
        <w:rPr>
          <w:rFonts w:ascii="Times New Roman" w:hAnsi="Times New Roman" w:cs="Times New Roman"/>
          <w:i/>
          <w:sz w:val="24"/>
          <w:szCs w:val="24"/>
          <w:lang w:val="en-US"/>
        </w:rPr>
        <w:t>Kashirskoe</w:t>
      </w:r>
      <w:proofErr w:type="spellEnd"/>
      <w:r w:rsidRPr="00F64CD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64CDC">
        <w:rPr>
          <w:rFonts w:ascii="Times New Roman" w:hAnsi="Times New Roman" w:cs="Times New Roman"/>
          <w:i/>
          <w:sz w:val="24"/>
          <w:szCs w:val="24"/>
          <w:lang w:val="en-US"/>
        </w:rPr>
        <w:t>shosse</w:t>
      </w:r>
      <w:proofErr w:type="spellEnd"/>
      <w:r w:rsidRPr="00F64CD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31, Moscow, 115409, Russia</w:t>
      </w:r>
    </w:p>
    <w:p w:rsidR="00DB24A0" w:rsidRPr="00CB2D1E" w:rsidRDefault="00F64CDC" w:rsidP="002000C7">
      <w:pPr>
        <w:spacing w:after="0"/>
        <w:ind w:left="567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64CDC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 xml:space="preserve">2 </w:t>
      </w:r>
      <w:r w:rsidR="00DB24A0" w:rsidRPr="00F64CDC">
        <w:rPr>
          <w:rFonts w:ascii="Times New Roman" w:hAnsi="Times New Roman" w:cs="Times New Roman"/>
          <w:i/>
          <w:sz w:val="24"/>
          <w:szCs w:val="24"/>
          <w:lang w:val="en-US"/>
        </w:rPr>
        <w:t xml:space="preserve">Financial University under the Government of the Russian Federation 49 </w:t>
      </w:r>
      <w:proofErr w:type="spellStart"/>
      <w:r w:rsidR="00DB24A0" w:rsidRPr="00F64CDC">
        <w:rPr>
          <w:rFonts w:ascii="Times New Roman" w:hAnsi="Times New Roman" w:cs="Times New Roman"/>
          <w:i/>
          <w:sz w:val="24"/>
          <w:szCs w:val="24"/>
          <w:lang w:val="en-US"/>
        </w:rPr>
        <w:t>Leningradsky</w:t>
      </w:r>
      <w:proofErr w:type="spellEnd"/>
      <w:r w:rsidR="00CB2D1E" w:rsidRPr="00CB2D1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DB24A0" w:rsidRPr="00F64CDC">
        <w:rPr>
          <w:rFonts w:ascii="Times New Roman" w:hAnsi="Times New Roman" w:cs="Times New Roman"/>
          <w:i/>
          <w:sz w:val="24"/>
          <w:szCs w:val="24"/>
          <w:lang w:val="en-US"/>
        </w:rPr>
        <w:t>Prospekt</w:t>
      </w:r>
      <w:proofErr w:type="spellEnd"/>
      <w:r w:rsidR="00DB24A0" w:rsidRPr="00F64CDC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Moscow, Russia, 125993, GSP-3. </w:t>
      </w:r>
    </w:p>
    <w:p w:rsidR="002000C7" w:rsidRPr="00CB2D1E" w:rsidRDefault="002000C7" w:rsidP="002000C7">
      <w:pPr>
        <w:spacing w:after="0"/>
        <w:ind w:left="567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64CDC" w:rsidRPr="00CB2D1E" w:rsidRDefault="00F64CDC" w:rsidP="002000C7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200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A.S. </w:t>
      </w:r>
      <w:proofErr w:type="spellStart"/>
      <w:r w:rsidRPr="00200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Vorobeva</w:t>
      </w:r>
      <w:proofErr w:type="spellEnd"/>
      <w:r w:rsidRPr="00200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: </w:t>
      </w:r>
      <w:proofErr w:type="spellStart"/>
      <w:r w:rsidRPr="002000C7">
        <w:rPr>
          <w:rFonts w:ascii="Times New Roman" w:hAnsi="Times New Roman" w:cs="Times New Roman"/>
          <w:sz w:val="24"/>
          <w:szCs w:val="24"/>
          <w:lang w:val="en-US"/>
        </w:rPr>
        <w:t>ORCiD</w:t>
      </w:r>
      <w:proofErr w:type="spellEnd"/>
      <w:r w:rsidR="002000C7" w:rsidRPr="00CB2D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00C7" w:rsidRPr="00CB2D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0000-0002-7738-7173;</w:t>
      </w:r>
    </w:p>
    <w:p w:rsidR="00F64CDC" w:rsidRPr="00CB2D1E" w:rsidRDefault="00F64CDC" w:rsidP="002000C7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200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V.V. </w:t>
      </w:r>
      <w:proofErr w:type="spellStart"/>
      <w:r w:rsidRPr="00200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Zhdanovich</w:t>
      </w:r>
      <w:proofErr w:type="spellEnd"/>
      <w:r w:rsidRPr="00200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: </w:t>
      </w:r>
      <w:proofErr w:type="spellStart"/>
      <w:r w:rsidRPr="002000C7">
        <w:rPr>
          <w:rFonts w:ascii="Times New Roman" w:hAnsi="Times New Roman" w:cs="Times New Roman"/>
          <w:sz w:val="24"/>
          <w:szCs w:val="24"/>
          <w:lang w:val="en-US"/>
        </w:rPr>
        <w:t>ORCiD</w:t>
      </w:r>
      <w:proofErr w:type="spellEnd"/>
      <w:r w:rsidR="002000C7" w:rsidRPr="00CB2D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00C7" w:rsidRPr="00CB2D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0000-0001-7396-6250;</w:t>
      </w:r>
    </w:p>
    <w:p w:rsidR="00F64CDC" w:rsidRPr="002000C7" w:rsidRDefault="00F64CDC" w:rsidP="002000C7">
      <w:pPr>
        <w:tabs>
          <w:tab w:val="left" w:pos="4041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200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E.A.</w:t>
      </w:r>
      <w:r w:rsidRPr="002000C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proofErr w:type="spellStart"/>
      <w:r w:rsidRPr="00200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Kosova</w:t>
      </w:r>
      <w:proofErr w:type="spellEnd"/>
      <w:r w:rsidRPr="00200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:</w:t>
      </w:r>
      <w:r w:rsidRPr="002000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00C7">
        <w:rPr>
          <w:rFonts w:ascii="Times New Roman" w:hAnsi="Times New Roman" w:cs="Times New Roman"/>
          <w:sz w:val="24"/>
          <w:szCs w:val="24"/>
          <w:lang w:val="en-US"/>
        </w:rPr>
        <w:t>ORCiD</w:t>
      </w:r>
      <w:proofErr w:type="spellEnd"/>
      <w:r w:rsidRPr="002000C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2000C7" w:rsidRPr="002000C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0000-0001-8002-6590;</w:t>
      </w:r>
      <w:r w:rsidR="002000C7" w:rsidRPr="002000C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hyperlink r:id="rId4" w:history="1">
        <w:r w:rsidR="002000C7" w:rsidRPr="002000C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e.kosova@hotmail.com</w:t>
        </w:r>
      </w:hyperlink>
    </w:p>
    <w:p w:rsidR="00F64CDC" w:rsidRPr="002000C7" w:rsidRDefault="00F64CDC" w:rsidP="002000C7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200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P.Y. </w:t>
      </w:r>
      <w:proofErr w:type="spellStart"/>
      <w:r w:rsidRPr="00200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Leonov</w:t>
      </w:r>
      <w:proofErr w:type="spellEnd"/>
      <w:r w:rsidRPr="00200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:</w:t>
      </w:r>
      <w:r w:rsidRPr="002000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00C7">
        <w:rPr>
          <w:rFonts w:ascii="Times New Roman" w:hAnsi="Times New Roman" w:cs="Times New Roman"/>
          <w:sz w:val="24"/>
          <w:szCs w:val="24"/>
          <w:lang w:val="en-US"/>
        </w:rPr>
        <w:t>ORCiD</w:t>
      </w:r>
      <w:proofErr w:type="spellEnd"/>
      <w:r w:rsidR="002000C7" w:rsidRPr="002000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00C7" w:rsidRPr="002000C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0000-0002-3415-2702; p.u.leonov@gmail.com</w:t>
      </w:r>
    </w:p>
    <w:p w:rsidR="00E63EFC" w:rsidRPr="00CB2D1E" w:rsidRDefault="00E63EFC" w:rsidP="002000C7">
      <w:pPr>
        <w:spacing w:before="240"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F64CD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Corresponding Author:</w:t>
      </w:r>
      <w:r w:rsidR="00F64CDC" w:rsidRPr="00F64CD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2000C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E.A. </w:t>
      </w:r>
      <w:proofErr w:type="spellStart"/>
      <w:r w:rsidR="002000C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Kosova</w:t>
      </w:r>
      <w:proofErr w:type="spellEnd"/>
    </w:p>
    <w:p w:rsidR="007D664F" w:rsidRPr="00F64CDC" w:rsidRDefault="007D664F" w:rsidP="002000C7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64CD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Copyright © 2017 </w:t>
      </w:r>
      <w:r w:rsidR="00501E5F" w:rsidRPr="00F64CD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A.S. </w:t>
      </w:r>
      <w:proofErr w:type="spellStart"/>
      <w:r w:rsidR="00501E5F" w:rsidRPr="00F64CD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Vorobe</w:t>
      </w:r>
      <w:r w:rsidR="00DC697F" w:rsidRPr="00F64CD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va</w:t>
      </w:r>
      <w:proofErr w:type="spellEnd"/>
      <w:r w:rsidR="00DC697F" w:rsidRPr="00F64CD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,</w:t>
      </w:r>
      <w:r w:rsidR="00501E5F" w:rsidRPr="00F64CD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="00DC697F" w:rsidRPr="00F64CD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V.V. </w:t>
      </w:r>
      <w:proofErr w:type="spellStart"/>
      <w:r w:rsidR="00DC697F" w:rsidRPr="00F64CD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Zhdanovich</w:t>
      </w:r>
      <w:proofErr w:type="spellEnd"/>
      <w:r w:rsidR="00DC697F" w:rsidRPr="00F64CD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,</w:t>
      </w:r>
      <w:r w:rsidR="00501E5F" w:rsidRPr="00F64CD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="00DC697F" w:rsidRPr="00F64CD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E.A. Kosova,</w:t>
      </w:r>
      <w:r w:rsidR="00501E5F" w:rsidRPr="00F64CD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="00DC697F" w:rsidRPr="00F64CD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P.Y. Leonov.</w:t>
      </w:r>
    </w:p>
    <w:p w:rsidR="00F64CDC" w:rsidRPr="002000C7" w:rsidRDefault="00F64CDC" w:rsidP="00F64CDC">
      <w:pPr>
        <w:pStyle w:val="first"/>
        <w:shd w:val="clear" w:color="auto" w:fill="FFFFFF"/>
        <w:spacing w:before="0" w:beforeAutospacing="0" w:after="0" w:afterAutospacing="0" w:line="360" w:lineRule="auto"/>
        <w:ind w:left="426"/>
        <w:jc w:val="both"/>
        <w:rPr>
          <w:sz w:val="28"/>
          <w:szCs w:val="28"/>
          <w:lang w:val="en-US"/>
        </w:rPr>
      </w:pPr>
    </w:p>
    <w:p w:rsidR="007D664F" w:rsidRPr="00F64CDC" w:rsidRDefault="002000C7" w:rsidP="00F64CDC">
      <w:pPr>
        <w:pStyle w:val="first"/>
        <w:shd w:val="clear" w:color="auto" w:fill="FFFFFF"/>
        <w:spacing w:before="0" w:beforeAutospacing="0" w:after="0" w:afterAutospacing="0"/>
        <w:ind w:left="426"/>
        <w:jc w:val="both"/>
        <w:rPr>
          <w:lang w:val="en-US"/>
        </w:rPr>
      </w:pPr>
      <w:r w:rsidRPr="00F64CDC">
        <w:rPr>
          <w:b/>
          <w:bCs/>
          <w:szCs w:val="20"/>
          <w:lang w:val="en-US"/>
        </w:rPr>
        <w:t xml:space="preserve">Abstract: </w:t>
      </w:r>
      <w:r w:rsidR="007D664F" w:rsidRPr="00F64CDC">
        <w:rPr>
          <w:lang w:val="en-US"/>
        </w:rPr>
        <w:t>This article is distributed under the terms of the</w:t>
      </w:r>
      <w:r w:rsidR="00501E5F" w:rsidRPr="00F64CDC">
        <w:rPr>
          <w:lang w:val="en-US"/>
        </w:rPr>
        <w:t xml:space="preserve"> </w:t>
      </w:r>
      <w:hyperlink r:id="rId5" w:tgtFrame="xrefwindow" w:history="1">
        <w:r w:rsidR="007D664F" w:rsidRPr="00F64CDC">
          <w:rPr>
            <w:rStyle w:val="a3"/>
            <w:bCs/>
            <w:color w:val="auto"/>
            <w:u w:val="none"/>
            <w:lang w:val="en-US"/>
          </w:rPr>
          <w:t>Creative Commons Attribution License</w:t>
        </w:r>
      </w:hyperlink>
      <w:r w:rsidR="007D664F" w:rsidRPr="00F64CDC">
        <w:rPr>
          <w:lang w:val="en-US"/>
        </w:rPr>
        <w:t>, which permits unrestricted use and redistribution provided that the original author and source are credited.</w:t>
      </w:r>
    </w:p>
    <w:p w:rsidR="007E3F37" w:rsidRPr="00CB2D1E" w:rsidRDefault="007E3F37" w:rsidP="00F64CD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F64CDC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Identification of </w:t>
      </w:r>
      <w:r w:rsidR="00923A95" w:rsidRPr="00F64CDC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money laundering</w:t>
      </w:r>
      <w:r w:rsidRPr="00F64CDC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risks in the sector of precious metals and precious stones is an important element in b</w:t>
      </w:r>
      <w:r w:rsidR="00CE2337" w:rsidRPr="00F64CDC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uilding a</w:t>
      </w:r>
      <w:r w:rsidR="00A25DA0" w:rsidRPr="00F64CDC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n effective</w:t>
      </w:r>
      <w:r w:rsidR="00CE2337" w:rsidRPr="00F64CDC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risk-based approach of </w:t>
      </w:r>
      <w:r w:rsidR="006A1E84" w:rsidRPr="00F64CDC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money laundering</w:t>
      </w:r>
      <w:r w:rsidRPr="00F64CDC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risk asse</w:t>
      </w:r>
      <w:r w:rsidR="00CE2337" w:rsidRPr="00F64CDC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ssment in the country</w:t>
      </w:r>
      <w:r w:rsidRPr="00F64CDC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. </w:t>
      </w:r>
      <w:r w:rsidR="00CE2337" w:rsidRPr="00F64CDC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The article d</w:t>
      </w:r>
      <w:r w:rsidRPr="00F64CDC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escribes a mechanism of </w:t>
      </w:r>
      <w:r w:rsidR="00CE2337" w:rsidRPr="00F64CDC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information exchange used in risk assessment </w:t>
      </w:r>
      <w:r w:rsidRPr="00F64CDC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of the organizations and individual entrepreneurs engaged in </w:t>
      </w:r>
      <w:r w:rsidR="00CE2337" w:rsidRPr="00F64CDC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the mining, production, use and circulation of precious metals and precious stones</w:t>
      </w:r>
      <w:r w:rsidR="00D87F9A" w:rsidRPr="00F64CDC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.</w:t>
      </w:r>
      <w:r w:rsidR="00CB2D1E" w:rsidRPr="00CB2D1E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r w:rsidR="00D87F9A" w:rsidRPr="00F64CDC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The mechanism is based on</w:t>
      </w:r>
      <w:r w:rsidRPr="00F64CDC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modern digital </w:t>
      </w:r>
      <w:r w:rsidR="00D87F9A" w:rsidRPr="00F64CDC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technologies such as </w:t>
      </w:r>
      <w:r w:rsidR="00CB2D1E" w:rsidRPr="00CB2D1E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a </w:t>
      </w:r>
      <w:r w:rsidR="008534D1" w:rsidRPr="00F64CDC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user’s cabinet </w:t>
      </w:r>
      <w:r w:rsidR="00D87F9A" w:rsidRPr="00F64CDC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on</w:t>
      </w:r>
      <w:r w:rsidR="008534D1" w:rsidRPr="00F64CDC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the </w:t>
      </w:r>
      <w:r w:rsidR="00D87F9A" w:rsidRPr="00F64CDC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Federal financial monitoring service </w:t>
      </w:r>
      <w:r w:rsidR="008534D1" w:rsidRPr="00F64CDC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website</w:t>
      </w:r>
      <w:r w:rsidRPr="00F64CDC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.</w:t>
      </w:r>
      <w:r w:rsidR="00CB2D1E" w:rsidRPr="00CB2D1E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The r</w:t>
      </w:r>
      <w:r w:rsidR="00CE3651" w:rsidRPr="00F64CDC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isk-score </w:t>
      </w:r>
      <w:r w:rsidR="00CB2D1E" w:rsidRPr="00CB2D1E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is </w:t>
      </w:r>
      <w:r w:rsidR="00CE3651" w:rsidRPr="00F64CDC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obtained as a result</w:t>
      </w:r>
      <w:r w:rsidR="00B13A44" w:rsidRPr="00F64CDC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of the analysis of the </w:t>
      </w:r>
      <w:r w:rsidR="00CE3651" w:rsidRPr="00F64CDC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information</w:t>
      </w:r>
      <w:r w:rsidR="00B13A44" w:rsidRPr="00F64CDC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contained in the database of </w:t>
      </w:r>
      <w:proofErr w:type="spellStart"/>
      <w:r w:rsidR="00B13A44" w:rsidRPr="00F64CDC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Rosfinmonitoring</w:t>
      </w:r>
      <w:proofErr w:type="spellEnd"/>
      <w:r w:rsidR="00B13A44" w:rsidRPr="00F64CDC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, as well as monitoring and oversight activities</w:t>
      </w:r>
      <w:r w:rsidR="00CE3651" w:rsidRPr="00F64CDC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conducted by</w:t>
      </w:r>
      <w:r w:rsidR="00D96AD6" w:rsidRPr="00F64CDC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Federal state institution «Th</w:t>
      </w:r>
      <w:r w:rsidR="00CB2D1E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e r</w:t>
      </w:r>
      <w:r w:rsidR="00CE3651" w:rsidRPr="00F64CDC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isk-score </w:t>
      </w:r>
      <w:r w:rsidR="00B13A44" w:rsidRPr="00F64CDC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shall be </w:t>
      </w:r>
      <w:r w:rsidR="00CE3651" w:rsidRPr="00F64CDC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provided</w:t>
      </w:r>
      <w:r w:rsidR="00B13A44" w:rsidRPr="00F64CDC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to </w:t>
      </w:r>
      <w:r w:rsidR="00CE3651" w:rsidRPr="00F64CDC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all subjects of the sector</w:t>
      </w:r>
      <w:r w:rsidR="00B13A44" w:rsidRPr="00F64CDC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allowing them to quickly resolve the shortcomings in their </w:t>
      </w:r>
      <w:r w:rsidR="00CE3651" w:rsidRPr="00F64CDC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activities</w:t>
      </w:r>
      <w:r w:rsidR="00B13A44" w:rsidRPr="00F64CDC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.</w:t>
      </w:r>
    </w:p>
    <w:p w:rsidR="002000C7" w:rsidRPr="00CB2D1E" w:rsidRDefault="002000C7" w:rsidP="00F64CD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ru-RU"/>
        </w:rPr>
      </w:pPr>
    </w:p>
    <w:p w:rsidR="007E3F37" w:rsidRPr="00CB2D1E" w:rsidRDefault="007E3F37" w:rsidP="00F64CD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F64CDC"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  <w:t xml:space="preserve">Keywords: </w:t>
      </w:r>
      <w:r w:rsidR="00B13A44" w:rsidRPr="00F64CDC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money laundering</w:t>
      </w:r>
      <w:r w:rsidR="00C3532C" w:rsidRPr="00F64CDC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risk, </w:t>
      </w:r>
      <w:r w:rsidR="00065129" w:rsidRPr="00F64CDC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sector of precious metals and precious stones, big data, information exchange, risk assessment, internal control.</w:t>
      </w:r>
    </w:p>
    <w:p w:rsidR="002000C7" w:rsidRPr="00CB2D1E" w:rsidRDefault="002000C7" w:rsidP="00F64CD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</w:pPr>
    </w:p>
    <w:p w:rsidR="00F64CDC" w:rsidRPr="00C57DFA" w:rsidRDefault="00F64CDC" w:rsidP="00F64CDC">
      <w:pPr>
        <w:pStyle w:val="1"/>
        <w:spacing w:before="0" w:line="360" w:lineRule="auto"/>
        <w:ind w:right="-1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57DFA">
        <w:rPr>
          <w:rFonts w:ascii="Times New Roman" w:hAnsi="Times New Roman" w:cs="Times New Roman"/>
          <w:b/>
          <w:color w:val="auto"/>
          <w:sz w:val="28"/>
          <w:szCs w:val="28"/>
        </w:rPr>
        <w:t>Introduction</w:t>
      </w:r>
    </w:p>
    <w:p w:rsidR="00220034" w:rsidRPr="00220034" w:rsidRDefault="00CB2D1E" w:rsidP="00CD6D89">
      <w:pPr>
        <w:spacing w:after="0" w:line="360" w:lineRule="auto"/>
        <w:jc w:val="both"/>
        <w:rPr>
          <w:rFonts w:ascii="Calibri" w:eastAsia="Times New Roman" w:hAnsi="Calibri" w:cs="Times New Roman"/>
          <w:lang w:val="en-US" w:eastAsia="ru-RU"/>
        </w:rPr>
      </w:pPr>
      <w:r w:rsidRPr="00CB2D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s</w:t>
      </w:r>
      <w:r w:rsidR="00CD6D89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ector of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precious metals and </w:t>
      </w:r>
      <w:r w:rsidR="00CD6D89" w:rsidRPr="00E478E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precious stones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brings together organizations working in the field </w:t>
      </w:r>
      <w:r w:rsidR="00CD6D89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mini</w:t>
      </w:r>
      <w:r w:rsidR="00CD6D89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ng, product</w:t>
      </w:r>
      <w:r w:rsidR="002408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ion, use and circulation of </w:t>
      </w:r>
      <w:r w:rsidR="0024088E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precious metals and </w:t>
      </w:r>
      <w:r w:rsidR="0024088E" w:rsidRPr="00E478E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precious stones</w:t>
      </w:r>
      <w:r w:rsidR="008A3378" w:rsidRPr="008A337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="00CD6D89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(Figure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1).</w:t>
      </w:r>
    </w:p>
    <w:p w:rsidR="00220034" w:rsidRPr="00CD6D89" w:rsidRDefault="00DF6F97" w:rsidP="00220034">
      <w:pPr>
        <w:spacing w:after="0" w:line="360" w:lineRule="auto"/>
        <w:rPr>
          <w:rFonts w:ascii="Calibri" w:eastAsia="Times New Roman" w:hAnsi="Calibri" w:cs="Times New Roman"/>
          <w:lang w:val="en-US"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029325" cy="378142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20034" w:rsidRPr="002000C7" w:rsidRDefault="00220034" w:rsidP="00220034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E478E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Figure 1</w:t>
      </w:r>
      <w:r w:rsidR="00F93910" w:rsidRPr="00F9391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E478E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-</w:t>
      </w:r>
      <w:r w:rsidR="00CD6D89" w:rsidRPr="00E478E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M</w:t>
      </w:r>
      <w:r w:rsidRPr="00E478E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ain economic activities underta</w:t>
      </w:r>
      <w:r w:rsidR="00CD6D89" w:rsidRPr="00E478E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ken by </w:t>
      </w:r>
      <w:r w:rsidR="00147FC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the </w:t>
      </w:r>
      <w:r w:rsidR="00CD6D89" w:rsidRPr="00E478E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entities of the sector of precious metals and precious </w:t>
      </w:r>
      <w:r w:rsidRPr="00E478E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stones</w:t>
      </w:r>
    </w:p>
    <w:p w:rsidR="00F64CDC" w:rsidRPr="002000C7" w:rsidRDefault="00F64CDC" w:rsidP="00220034">
      <w:pPr>
        <w:spacing w:after="0" w:line="360" w:lineRule="auto"/>
        <w:jc w:val="center"/>
        <w:rPr>
          <w:rFonts w:ascii="Calibri" w:eastAsia="Times New Roman" w:hAnsi="Calibri" w:cs="Times New Roman"/>
          <w:lang w:val="en-US" w:eastAsia="ru-RU"/>
        </w:rPr>
      </w:pPr>
    </w:p>
    <w:p w:rsidR="00220034" w:rsidRDefault="00194321" w:rsidP="0019432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According to</w:t>
      </w:r>
      <w:r w:rsidR="00F93910" w:rsidRPr="00F939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Federal law </w:t>
      </w:r>
      <w:r w:rsidRPr="001943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On combating legalisation (laundering) of p</w:t>
      </w:r>
      <w:r w:rsidRPr="00194321">
        <w:rPr>
          <w:rFonts w:ascii="Times New Roman" w:hAnsi="Times New Roman" w:cs="Times New Roman"/>
          <w:sz w:val="28"/>
          <w:szCs w:val="28"/>
          <w:lang w:val="en-US"/>
        </w:rPr>
        <w:t xml:space="preserve">roceeds from </w:t>
      </w:r>
      <w:r>
        <w:rPr>
          <w:rFonts w:ascii="Times New Roman" w:hAnsi="Times New Roman" w:cs="Times New Roman"/>
          <w:sz w:val="28"/>
          <w:szCs w:val="28"/>
          <w:lang w:val="en-US"/>
        </w:rPr>
        <w:t>crime and financing of t</w:t>
      </w:r>
      <w:r w:rsidRPr="00194321">
        <w:rPr>
          <w:rFonts w:ascii="Times New Roman" w:hAnsi="Times New Roman" w:cs="Times New Roman"/>
          <w:sz w:val="28"/>
          <w:szCs w:val="28"/>
          <w:lang w:val="en-US"/>
        </w:rPr>
        <w:t>errorism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o. 115-FZ [1] </w:t>
      </w:r>
      <w:r w:rsidR="00921D72" w:rsidRPr="00921D72">
        <w:rPr>
          <w:rFonts w:ascii="Times New Roman" w:hAnsi="Times New Roman" w:cs="Times New Roman"/>
          <w:sz w:val="28"/>
          <w:szCs w:val="28"/>
          <w:lang w:val="en-GB"/>
        </w:rPr>
        <w:t xml:space="preserve">organisations involved in purchase, </w:t>
      </w:r>
      <w:r w:rsidR="00666A08" w:rsidRPr="00666A08">
        <w:rPr>
          <w:rFonts w:ascii="Times New Roman" w:hAnsi="Times New Roman" w:cs="Times New Roman"/>
          <w:sz w:val="28"/>
          <w:szCs w:val="28"/>
          <w:lang w:val="en-US"/>
        </w:rPr>
        <w:t>buy and sell</w:t>
      </w:r>
      <w:r w:rsidR="00921D72" w:rsidRPr="00921D72">
        <w:rPr>
          <w:rFonts w:ascii="Times New Roman" w:hAnsi="Times New Roman" w:cs="Times New Roman"/>
          <w:sz w:val="28"/>
          <w:szCs w:val="28"/>
          <w:lang w:val="en-GB"/>
        </w:rPr>
        <w:t xml:space="preserve"> of </w:t>
      </w:r>
      <w:r w:rsidR="00921D72" w:rsidRPr="00155717">
        <w:rPr>
          <w:rFonts w:ascii="Times New Roman" w:hAnsi="Times New Roman" w:cs="Times New Roman"/>
          <w:sz w:val="28"/>
          <w:szCs w:val="28"/>
          <w:lang w:val="en-GB"/>
        </w:rPr>
        <w:t xml:space="preserve">precious metals and precious stones, jewellery </w:t>
      </w:r>
      <w:r w:rsidR="00921D72" w:rsidRPr="00530CA3">
        <w:rPr>
          <w:rFonts w:ascii="Times New Roman" w:hAnsi="Times New Roman" w:cs="Times New Roman"/>
          <w:sz w:val="28"/>
          <w:szCs w:val="28"/>
          <w:lang w:val="en-GB"/>
        </w:rPr>
        <w:t xml:space="preserve">made out of them and </w:t>
      </w:r>
      <w:proofErr w:type="spellStart"/>
      <w:r w:rsidR="00921D72" w:rsidRPr="00155717">
        <w:rPr>
          <w:rFonts w:ascii="Times New Roman" w:hAnsi="Times New Roman" w:cs="Times New Roman"/>
          <w:sz w:val="28"/>
          <w:szCs w:val="28"/>
          <w:lang w:val="en-GB"/>
        </w:rPr>
        <w:t>scr</w:t>
      </w:r>
      <w:r w:rsidR="00666A08" w:rsidRPr="00666A08">
        <w:rPr>
          <w:rFonts w:ascii="Times New Roman" w:hAnsi="Times New Roman" w:cs="Times New Roman"/>
          <w:sz w:val="28"/>
          <w:szCs w:val="28"/>
          <w:lang w:val="en-US"/>
        </w:rPr>
        <w:t>ap</w:t>
      </w:r>
      <w:proofErr w:type="spellEnd"/>
      <w:r w:rsidR="00921D72" w:rsidRPr="00155717">
        <w:rPr>
          <w:rFonts w:ascii="Times New Roman" w:hAnsi="Times New Roman" w:cs="Times New Roman"/>
          <w:sz w:val="28"/>
          <w:szCs w:val="28"/>
          <w:lang w:val="en-GB"/>
        </w:rPr>
        <w:t xml:space="preserve"> items</w:t>
      </w:r>
      <w:r w:rsidR="00F93910" w:rsidRPr="00F93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20034" w:rsidRPr="001557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are </w:t>
      </w:r>
      <w:r w:rsidR="00220034" w:rsidRPr="00530C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organizations </w:t>
      </w:r>
      <w:r w:rsidR="00921D72" w:rsidRPr="00530CA3">
        <w:rPr>
          <w:rFonts w:ascii="Times New Roman" w:hAnsi="Times New Roman" w:cs="Times New Roman"/>
          <w:sz w:val="28"/>
          <w:szCs w:val="28"/>
          <w:lang w:val="en-GB"/>
        </w:rPr>
        <w:t xml:space="preserve">performing </w:t>
      </w:r>
      <w:r w:rsidR="00921D72" w:rsidRPr="00921D72">
        <w:rPr>
          <w:rFonts w:ascii="Times New Roman" w:hAnsi="Times New Roman" w:cs="Times New Roman"/>
          <w:sz w:val="28"/>
          <w:szCs w:val="28"/>
          <w:lang w:val="en-GB"/>
        </w:rPr>
        <w:t>operations with monetary funds or other assets</w:t>
      </w:r>
      <w:r w:rsidR="00155717" w:rsidRPr="007C1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="001557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</w:t>
      </w:r>
      <w:r w:rsidR="00921D72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 is</w:t>
      </w:r>
      <w:r w:rsidR="001557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 reason</w:t>
      </w:r>
      <w:r w:rsidR="00921D72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they are obliged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to meet the requirements of the above-mentioned federal law. </w:t>
      </w:r>
      <w:r w:rsidR="00D45D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According to</w:t>
      </w:r>
      <w:r w:rsidR="00F93910" w:rsidRPr="00F939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666A08" w:rsidRPr="00666A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921D72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legis</w:t>
      </w:r>
      <w:r w:rsidR="00921D72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lation</w:t>
      </w:r>
      <w:r w:rsidR="00666A08" w:rsidRPr="00666A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of the Russian Federation the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Federal </w:t>
      </w:r>
      <w:r w:rsidR="00921D72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financial monitoring 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service (hereinafter </w:t>
      </w:r>
      <w:proofErr w:type="spellStart"/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Rosfinmonitoring</w:t>
      </w:r>
      <w:proofErr w:type="spellEnd"/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is a</w:t>
      </w:r>
      <w:r w:rsidR="00FF62DB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="00F93910" w:rsidRPr="00F939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921D72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authorized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body</w:t>
      </w:r>
      <w:r w:rsidR="008243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that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within the framework of its powers [2] oversees operations (transactions) with </w:t>
      </w:r>
      <w:r w:rsidR="00FF62DB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monetary </w:t>
      </w:r>
      <w:r w:rsidR="008D3D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funds or</w:t>
      </w:r>
      <w:r w:rsidR="00F93910" w:rsidRPr="00F939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other assets, as well as coord</w:t>
      </w:r>
      <w:r w:rsidR="00A213F0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inates the activities of other s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tate bodies and organizations in the </w:t>
      </w:r>
      <w:r w:rsidR="008243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area</w:t>
      </w:r>
      <w:r w:rsidR="00F93910" w:rsidRPr="00F939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A213F0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of </w:t>
      </w:r>
      <w:r w:rsidR="006B05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combating </w:t>
      </w:r>
      <w:r w:rsidR="008D3D7D">
        <w:rPr>
          <w:rFonts w:ascii="Times New Roman" w:hAnsi="Times New Roman" w:cs="Times New Roman"/>
          <w:sz w:val="28"/>
          <w:szCs w:val="28"/>
          <w:lang w:val="en-US"/>
        </w:rPr>
        <w:t xml:space="preserve">money laundering </w:t>
      </w:r>
      <w:r w:rsidR="00A213F0">
        <w:rPr>
          <w:rFonts w:ascii="Times New Roman" w:hAnsi="Times New Roman" w:cs="Times New Roman"/>
          <w:sz w:val="28"/>
          <w:szCs w:val="28"/>
          <w:lang w:val="en-US"/>
        </w:rPr>
        <w:t>and financing of t</w:t>
      </w:r>
      <w:r w:rsidR="00A213F0" w:rsidRPr="00194321">
        <w:rPr>
          <w:rFonts w:ascii="Times New Roman" w:hAnsi="Times New Roman" w:cs="Times New Roman"/>
          <w:sz w:val="28"/>
          <w:szCs w:val="28"/>
          <w:lang w:val="en-US"/>
        </w:rPr>
        <w:t>errorism</w:t>
      </w:r>
      <w:r w:rsidR="00F93910" w:rsidRPr="00F93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35F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including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 sector of precious metals and precious stones. </w:t>
      </w:r>
      <w:r w:rsidR="00666A08" w:rsidRPr="00666A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s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tate control and supervision in this sector </w:t>
      </w:r>
      <w:r w:rsidR="00A213F0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is 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carrie</w:t>
      </w:r>
      <w:r w:rsidR="00A213F0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out </w:t>
      </w:r>
      <w:r w:rsidR="00A213F0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by </w:t>
      </w:r>
      <w:r w:rsidR="00666A08" w:rsidRPr="00666A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</w:t>
      </w:r>
      <w:r w:rsidR="00A213F0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Federal state institution </w:t>
      </w:r>
      <w:r w:rsidR="00A213F0" w:rsidRPr="00A213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«</w:t>
      </w:r>
      <w:r w:rsidR="00A213F0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Russian </w:t>
      </w:r>
      <w:r w:rsidR="00666A08" w:rsidRPr="00666A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="00A213F0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tate </w:t>
      </w:r>
      <w:r w:rsidR="00666A08" w:rsidRPr="00666A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A213F0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ssay </w:t>
      </w:r>
      <w:r w:rsidR="00666A08" w:rsidRPr="00666A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="00A213F0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ffice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under the Ministry of Finance of the Russian Federat</w:t>
      </w:r>
      <w:r w:rsidR="00A213F0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ion</w:t>
      </w:r>
      <w:r w:rsidR="00A213F0" w:rsidRPr="00A213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»</w:t>
      </w:r>
      <w:r w:rsidR="00A213F0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(hereinafter</w:t>
      </w:r>
      <w:r w:rsidR="00D96A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A213F0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FSI </w:t>
      </w:r>
      <w:r w:rsidR="00A213F0" w:rsidRPr="00A213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«</w:t>
      </w:r>
      <w:r w:rsidR="00A213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A213F0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ssay </w:t>
      </w:r>
      <w:r w:rsidR="00666A08" w:rsidRPr="00666A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="00A213F0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ffice</w:t>
      </w:r>
      <w:r w:rsidR="00A213F0" w:rsidRPr="00A213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»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).</w:t>
      </w:r>
    </w:p>
    <w:p w:rsidR="0033136B" w:rsidRPr="007C1100" w:rsidRDefault="0033136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243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At present, </w:t>
      </w:r>
      <w:r w:rsidR="003D6137" w:rsidRPr="003D61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pursuant to the D</w:t>
      </w:r>
      <w:r w:rsidR="007C1100" w:rsidRPr="008243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ecree</w:t>
      </w:r>
      <w:r w:rsidRPr="008243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of the Government of the Russian Federation No. 1052 [3] all organizations and individual entrepreneurs engaged in transactions with </w:t>
      </w:r>
      <w:r w:rsidRPr="008243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preci</w:t>
      </w:r>
      <w:r w:rsidR="00824386" w:rsidRPr="008243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ous metals and precious stones</w:t>
      </w:r>
      <w:r w:rsidRPr="008243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required to be registered</w:t>
      </w:r>
      <w:r w:rsidR="00F93910" w:rsidRPr="00F939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824386" w:rsidRPr="008243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by</w:t>
      </w:r>
      <w:r w:rsidR="00494D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FSI</w:t>
      </w:r>
      <w:r w:rsidR="00F93910" w:rsidRPr="00F939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824386" w:rsidRPr="008243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«Assay </w:t>
      </w:r>
      <w:r w:rsidR="003D6137" w:rsidRPr="003D61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="00824386" w:rsidRPr="008243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ffice»</w:t>
      </w:r>
      <w:r w:rsidRPr="008243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In addition, certain categories of entities </w:t>
      </w:r>
      <w:r w:rsidR="00824386" w:rsidRPr="008243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are </w:t>
      </w:r>
      <w:r w:rsidRPr="008243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subject</w:t>
      </w:r>
      <w:r w:rsidR="003D6137" w:rsidRPr="003D61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</w:t>
      </w:r>
      <w:r w:rsidRPr="008243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to licensing, in particular entities engaged in the extraction of precious metals, and </w:t>
      </w:r>
      <w:r w:rsidR="007C1100" w:rsidRPr="008243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refining</w:t>
      </w:r>
      <w:r w:rsidRPr="008243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enterprises can carry out its activities only if their inclusion in </w:t>
      </w:r>
      <w:r w:rsidR="00824386" w:rsidRPr="008243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list </w:t>
      </w:r>
      <w:r w:rsidR="003D6137" w:rsidRPr="003D61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of </w:t>
      </w:r>
      <w:r w:rsidR="00824386" w:rsidRPr="008243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authorized enterprises</w:t>
      </w:r>
      <w:r w:rsidRPr="008243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F939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is </w:t>
      </w:r>
      <w:r w:rsidRPr="008243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defined by the Government of the Russian Federation.</w:t>
      </w:r>
    </w:p>
    <w:p w:rsidR="00220034" w:rsidRPr="00220034" w:rsidRDefault="00155717" w:rsidP="00194321">
      <w:pPr>
        <w:spacing w:after="0" w:line="360" w:lineRule="auto"/>
        <w:jc w:val="both"/>
        <w:rPr>
          <w:rFonts w:ascii="Calibri" w:eastAsia="Times New Roman" w:hAnsi="Calibri" w:cs="Times New Roman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odern </w:t>
      </w:r>
      <w:r w:rsidR="000D53F9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digital technologies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take place</w:t>
      </w:r>
      <w:r w:rsidR="00A617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 the s</w:t>
      </w:r>
      <w:r w:rsidR="000D53F9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ector of precious metals and </w:t>
      </w:r>
      <w:r w:rsidR="000D53F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precious </w:t>
      </w:r>
      <w:r w:rsidR="000D53F9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stones</w:t>
      </w:r>
      <w:r w:rsidR="00A617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D53F9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to simplify </w:t>
      </w:r>
      <w:r w:rsidR="000D53F9" w:rsidRPr="00530C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process of s</w:t>
      </w:r>
      <w:r w:rsidR="00220034" w:rsidRPr="00530C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tate control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On the basis of the defin</w:t>
      </w:r>
      <w:r w:rsidR="000D53F9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ition specified in the Strategy of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 development of the information society in the Russian Federation </w:t>
      </w:r>
      <w:r w:rsidR="00220034" w:rsidRPr="00530C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 the 2017-2030 years [</w:t>
      </w:r>
      <w:r w:rsidR="003313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</w:t>
      </w:r>
      <w:r w:rsidR="00220034" w:rsidRPr="00530C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], the digital ec</w:t>
      </w:r>
      <w:r w:rsidR="000D53F9" w:rsidRPr="00530C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onomy is an </w:t>
      </w:r>
      <w:r w:rsidR="000D53F9" w:rsidRPr="009359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activity </w:t>
      </w:r>
      <w:r w:rsidRPr="007C1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where </w:t>
      </w:r>
      <w:r w:rsidR="009359D7" w:rsidRPr="007C1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data in digital form is a </w:t>
      </w:r>
      <w:r w:rsidR="000D53F9" w:rsidRPr="007C1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key factor of production</w:t>
      </w:r>
      <w:r w:rsidR="009359D7" w:rsidRPr="00530C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A617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9359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="009359D7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he digital economy </w:t>
      </w:r>
      <w:r w:rsidR="009359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provides</w:t>
      </w:r>
      <w:r w:rsidR="00A617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information</w:t>
      </w:r>
      <w:r w:rsidR="009359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space </w:t>
      </w:r>
      <w:r w:rsidR="009359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tailored to 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needs of citizens and society in obtaining </w:t>
      </w:r>
      <w:r w:rsidR="009359D7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high quality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and reliable information, </w:t>
      </w:r>
      <w:r w:rsidR="009359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develops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 information infrastructure of the Russian Federation, </w:t>
      </w:r>
      <w:r w:rsidR="009359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contributes to creation 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and use of </w:t>
      </w:r>
      <w:r w:rsidR="009359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="009359D7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ussian 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information and telecommunication technologies, as well as the emergence of a new technological basis for the social and economic sphere. Thus, the key methods of</w:t>
      </w:r>
      <w:r w:rsidR="00701003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 digital economy in the sphere of</w:t>
      </w:r>
      <w:r w:rsidR="00A617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797E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money laundering</w:t>
      </w:r>
      <w:r w:rsidR="00701003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risk assessment are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 formation of qualitative and reliable </w:t>
      </w:r>
      <w:r w:rsidR="009359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informational space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including </w:t>
      </w:r>
      <w:r w:rsidR="003D6137" w:rsidRPr="003D61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 </w:t>
      </w:r>
      <w:r w:rsidR="00701003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big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data tech</w:t>
      </w:r>
      <w:r w:rsidR="00701003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nology. In accordance with the Program </w:t>
      </w:r>
      <w:r w:rsidR="00701003" w:rsidRPr="007010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«</w:t>
      </w:r>
      <w:r w:rsidR="007010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Digital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eco</w:t>
      </w:r>
      <w:r w:rsidR="00701003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nomy of the Russian Federation</w:t>
      </w:r>
      <w:r w:rsidR="00701003" w:rsidRPr="007010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» 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</w:t>
      </w:r>
      <w:r w:rsidR="003313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], </w:t>
      </w:r>
      <w:r w:rsidR="007010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big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data </w:t>
      </w:r>
      <w:r w:rsidR="003D6137" w:rsidRPr="003D61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are</w:t>
      </w:r>
      <w:r w:rsidR="00220034" w:rsidRPr="00530C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1E36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</w:t>
      </w:r>
      <w:r w:rsidR="001E3604" w:rsidRPr="00530C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pass</w:t>
      </w:r>
      <w:r w:rsidR="003D6137" w:rsidRPr="003D61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ing</w:t>
      </w:r>
      <w:r w:rsidR="001E3604" w:rsidRPr="00530C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="00220034" w:rsidRPr="007C1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through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digital technolog</w:t>
      </w:r>
      <w:r w:rsidR="003D6137" w:rsidRPr="003D61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ies</w:t>
      </w:r>
      <w:r w:rsidR="001E36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that</w:t>
      </w:r>
      <w:r w:rsidR="00A617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1E360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provid</w:t>
      </w:r>
      <w:r w:rsidR="001E36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="00A617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1E360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development</w:t>
      </w:r>
      <w:r w:rsidR="001E36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of</w:t>
      </w:r>
      <w:r w:rsidR="00A617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</w:t>
      </w:r>
      <w:r w:rsidR="00701003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gital environment in g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eneral.</w:t>
      </w:r>
    </w:p>
    <w:p w:rsidR="00220034" w:rsidRPr="00220034" w:rsidRDefault="00FC3131" w:rsidP="00194321">
      <w:pPr>
        <w:spacing w:after="0" w:line="360" w:lineRule="auto"/>
        <w:jc w:val="both"/>
        <w:rPr>
          <w:rFonts w:ascii="Calibri" w:eastAsia="Times New Roman" w:hAnsi="Calibri" w:cs="Times New Roman"/>
          <w:lang w:val="en-US" w:eastAsia="ru-RU"/>
        </w:rPr>
      </w:pPr>
      <w:r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Rosfinmonitoring and FSI</w:t>
      </w:r>
      <w:r w:rsidR="00A617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C31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«</w:t>
      </w:r>
      <w:r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Assay office</w:t>
      </w:r>
      <w:r w:rsidRPr="00FC31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»</w:t>
      </w:r>
      <w:r w:rsidR="00A617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also apply the aforecited 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technologie</w:t>
      </w:r>
      <w:r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s. O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ver the past five </w:t>
      </w:r>
      <w:r w:rsidR="003E5853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years,</w:t>
      </w:r>
      <w:r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 number of subjects registered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</w:t>
      </w:r>
      <w:r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FSI </w:t>
      </w:r>
      <w:r w:rsidRPr="00FC31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«</w:t>
      </w:r>
      <w:r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Assay </w:t>
      </w:r>
      <w:r w:rsidR="003D6137" w:rsidRPr="003D61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ffice</w:t>
      </w:r>
      <w:r w:rsidRPr="00FC31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»</w:t>
      </w:r>
      <w:r w:rsidR="003E58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has</w:t>
      </w:r>
      <w:r w:rsidR="00A617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9C4C8A" w:rsidRPr="007C1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exceeded</w:t>
      </w:r>
      <w:r w:rsidR="00A617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B773A3" w:rsidRPr="00530C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42000</w:t>
      </w:r>
      <w:r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legal </w:t>
      </w:r>
      <w:r w:rsidR="00B773A3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entities</w:t>
      </w:r>
      <w:r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and individual 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entrepreneurs. Similarly, the database of </w:t>
      </w:r>
      <w:proofErr w:type="spellStart"/>
      <w:r w:rsidR="00B773A3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Rosfinmonitoring</w:t>
      </w:r>
      <w:proofErr w:type="spellEnd"/>
      <w:r w:rsidR="00A617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E5853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</w:t>
      </w:r>
      <w:r w:rsidR="003E58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ntains</w:t>
      </w:r>
      <w:r w:rsidR="00A617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E58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information about</w:t>
      </w:r>
      <w:r w:rsidR="00A617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B773A3" w:rsidRPr="00921D72">
        <w:rPr>
          <w:rFonts w:ascii="Times New Roman" w:hAnsi="Times New Roman" w:cs="Times New Roman"/>
          <w:sz w:val="28"/>
          <w:szCs w:val="28"/>
          <w:lang w:val="en-GB"/>
        </w:rPr>
        <w:t xml:space="preserve">organisations involved in </w:t>
      </w:r>
      <w:r w:rsidR="00530DF9">
        <w:rPr>
          <w:rFonts w:ascii="Times New Roman" w:hAnsi="Times New Roman" w:cs="Times New Roman"/>
          <w:sz w:val="28"/>
          <w:szCs w:val="28"/>
          <w:lang w:val="en-GB"/>
        </w:rPr>
        <w:t xml:space="preserve">the </w:t>
      </w:r>
      <w:r w:rsidR="00B773A3" w:rsidRPr="00921D72">
        <w:rPr>
          <w:rFonts w:ascii="Times New Roman" w:hAnsi="Times New Roman" w:cs="Times New Roman"/>
          <w:sz w:val="28"/>
          <w:szCs w:val="28"/>
          <w:lang w:val="en-GB"/>
        </w:rPr>
        <w:t>purchase, buy</w:t>
      </w:r>
      <w:r w:rsidR="003D6137" w:rsidRPr="003D6137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r w:rsidR="00B773A3" w:rsidRPr="00921D72">
        <w:rPr>
          <w:rFonts w:ascii="Times New Roman" w:hAnsi="Times New Roman" w:cs="Times New Roman"/>
          <w:sz w:val="28"/>
          <w:szCs w:val="28"/>
          <w:lang w:val="en-GB"/>
        </w:rPr>
        <w:t xml:space="preserve">sell of precious metals and precious stones, jewellery made out of them and </w:t>
      </w:r>
      <w:r w:rsidR="003D6137">
        <w:rPr>
          <w:rFonts w:ascii="Times New Roman" w:hAnsi="Times New Roman" w:cs="Times New Roman"/>
          <w:sz w:val="28"/>
          <w:szCs w:val="28"/>
          <w:lang w:val="en-GB"/>
        </w:rPr>
        <w:t>scrap</w:t>
      </w:r>
      <w:r w:rsidR="00B773A3" w:rsidRPr="00530CA3">
        <w:rPr>
          <w:rFonts w:ascii="Times New Roman" w:hAnsi="Times New Roman" w:cs="Times New Roman"/>
          <w:sz w:val="28"/>
          <w:szCs w:val="28"/>
          <w:lang w:val="en-GB"/>
        </w:rPr>
        <w:t xml:space="preserve"> items</w:t>
      </w:r>
      <w:r w:rsidR="00220034" w:rsidRPr="00530C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This information is an </w:t>
      </w:r>
      <w:r w:rsidR="00220034" w:rsidRPr="007C1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array of big data</w:t>
      </w:r>
      <w:r w:rsidR="003D6137" w:rsidRPr="003D61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E5853" w:rsidRPr="00D522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based on</w:t>
      </w:r>
      <w:r w:rsidR="00B03B76" w:rsidRPr="00D522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reports sent by</w:t>
      </w:r>
      <w:r w:rsidR="00220034" w:rsidRPr="00D522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 subjects of primary financial monitoring in the framework of internal</w:t>
      </w:r>
      <w:r w:rsidR="00A617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D52216" w:rsidRPr="00D522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(suspicious operations) </w:t>
      </w:r>
      <w:r w:rsidR="00B03B76" w:rsidRPr="00D522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and </w:t>
      </w:r>
      <w:r w:rsidR="003E5853" w:rsidRPr="00D522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obligatory</w:t>
      </w:r>
      <w:r w:rsidR="00D52216" w:rsidRPr="00D522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(operations above 600k rubles)</w:t>
      </w:r>
      <w:r w:rsidR="00A617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B03B76" w:rsidRPr="00D522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control </w:t>
      </w:r>
      <w:r w:rsidR="00220034" w:rsidRPr="00D522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through</w:t>
      </w:r>
      <w:r w:rsidR="00B03B76" w:rsidRPr="00D522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 user’s cabinet </w:t>
      </w:r>
      <w:r w:rsidR="003E5853" w:rsidRPr="007C1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on </w:t>
      </w:r>
      <w:r w:rsidR="00220034" w:rsidRPr="007C1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Rosfinmonitoring Internet</w:t>
      </w:r>
      <w:r w:rsidR="00B03B76" w:rsidRPr="007C1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portal</w:t>
      </w:r>
      <w:r w:rsidR="00B03B76" w:rsidRPr="00530C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accordance</w:t>
      </w:r>
      <w:r w:rsidR="00B03B76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with the R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egulation on</w:t>
      </w:r>
      <w:r w:rsidR="00B03B76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 provision of information to the F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ederal financial monitoring service [</w:t>
      </w:r>
      <w:r w:rsidR="003313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6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]. </w:t>
      </w:r>
      <w:r w:rsidR="00D52216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Thus,</w:t>
      </w:r>
      <w:r w:rsidR="00664C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</w:t>
      </w:r>
      <w:r w:rsidR="007D219B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user’s cabinet 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of the organization is the main channel for information exchange </w:t>
      </w:r>
      <w:r w:rsidR="00220034" w:rsidRPr="00530C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between the </w:t>
      </w:r>
      <w:r w:rsidR="00D52216" w:rsidRPr="007C1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subjects </w:t>
      </w:r>
      <w:r w:rsidR="00220034" w:rsidRPr="007C1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 the sector</w:t>
      </w:r>
      <w:r w:rsidR="00220034" w:rsidRPr="00530C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and the </w:t>
      </w:r>
      <w:r w:rsidR="007D219B" w:rsidRPr="00530C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authorized </w:t>
      </w:r>
      <w:r w:rsidR="00220034" w:rsidRPr="00530C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body (Figure 2).</w:t>
      </w:r>
    </w:p>
    <w:p w:rsidR="00220034" w:rsidRPr="007D219B" w:rsidRDefault="000E0915" w:rsidP="000E0915">
      <w:pPr>
        <w:spacing w:after="0" w:line="360" w:lineRule="auto"/>
        <w:jc w:val="center"/>
        <w:rPr>
          <w:rFonts w:ascii="Calibri" w:eastAsia="Times New Roman" w:hAnsi="Calibri" w:cs="Times New Roman"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6115050" cy="466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1283" t="16601" r="16424" b="12438"/>
                    <a:stretch/>
                  </pic:blipFill>
                  <pic:spPr bwMode="auto">
                    <a:xfrm>
                      <a:off x="0" y="0"/>
                      <a:ext cx="6128775" cy="4677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0034" w:rsidRPr="00220034" w:rsidRDefault="00220034" w:rsidP="007D219B">
      <w:pPr>
        <w:spacing w:after="0" w:line="360" w:lineRule="auto"/>
        <w:jc w:val="center"/>
        <w:rPr>
          <w:rFonts w:ascii="Calibri" w:eastAsia="Times New Roman" w:hAnsi="Calibri" w:cs="Times New Roman"/>
          <w:lang w:val="en-US" w:eastAsia="ru-RU"/>
        </w:rPr>
      </w:pPr>
      <w:r w:rsidRPr="00E478E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Figure 2</w:t>
      </w:r>
      <w:r w:rsidR="007D219B" w:rsidRPr="00E478E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– Information exchange m</w:t>
      </w:r>
      <w:r w:rsidRPr="00E478E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echanism</w:t>
      </w:r>
    </w:p>
    <w:p w:rsidR="00220034" w:rsidRPr="00852195" w:rsidRDefault="00530CA3" w:rsidP="0019432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Bas</w:t>
      </w:r>
      <w:r w:rsidR="003D6137" w:rsidRPr="003D61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on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</w:t>
      </w:r>
      <w:r w:rsidR="00664C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B457E4" w:rsidRPr="00B457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above-mentioned </w:t>
      </w:r>
      <w:r w:rsidR="00D52216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analysis 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of </w:t>
      </w:r>
      <w:r w:rsidR="007D219B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big data and</w:t>
      </w:r>
      <w:r w:rsidR="00664C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D6137" w:rsidRPr="003D61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</w:t>
      </w:r>
      <w:r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conduct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</w:t>
      </w:r>
      <w:r w:rsidR="00664C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monitoring and </w:t>
      </w:r>
      <w:r w:rsidR="007D219B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control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activities </w:t>
      </w:r>
      <w:r w:rsidR="007D219B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by FSI </w:t>
      </w:r>
      <w:r w:rsidR="007D219B" w:rsidRPr="00FC31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«</w:t>
      </w:r>
      <w:r w:rsidR="007D219B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Assay </w:t>
      </w:r>
      <w:r w:rsidR="003D6137" w:rsidRPr="003D61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="007D219B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ffice</w:t>
      </w:r>
      <w:r w:rsidR="007D219B" w:rsidRPr="00FC31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»</w:t>
      </w:r>
      <w:r w:rsidRPr="007C1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Rosfinmonitoring</w:t>
      </w:r>
      <w:proofErr w:type="spellEnd"/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assesses </w:t>
      </w:r>
      <w:r w:rsidR="009C4C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lawfulness of organizations</w:t>
      </w:r>
      <w:r w:rsidR="00664C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using risk-</w:t>
      </w:r>
      <w:r w:rsidR="007D219B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based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approac</w:t>
      </w:r>
      <w:r w:rsidR="00E52256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h. </w:t>
      </w:r>
      <w:r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 results of</w:t>
      </w:r>
      <w:r w:rsidR="00664C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E52256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risk assessment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are </w:t>
      </w:r>
      <w:r w:rsidR="00834632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provided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to </w:t>
      </w:r>
      <w:r w:rsidR="00834632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organizations through </w:t>
      </w:r>
      <w:r w:rsidR="003D6137" w:rsidRPr="003D61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</w:t>
      </w:r>
      <w:r w:rsidR="00E52256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user’s cabinet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</w:t>
      </w:r>
      <w:r w:rsidR="00664C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allow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entities to correct </w:t>
      </w:r>
      <w:r w:rsidR="00E52256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shortcomings in its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system of</w:t>
      </w:r>
      <w:r w:rsidR="000418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internal control. Moreover,</w:t>
      </w:r>
      <w:r w:rsidR="00664C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results of</w:t>
      </w:r>
      <w:r w:rsidR="00664C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BB3E4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risk assessment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are</w:t>
      </w:r>
      <w:r w:rsidR="00664C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BB3E4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taken into account by</w:t>
      </w:r>
      <w:r w:rsidR="00664C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BB3E4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FSI </w:t>
      </w:r>
      <w:r w:rsidR="00BB3E44" w:rsidRPr="00FC31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«</w:t>
      </w:r>
      <w:r w:rsidR="00BB3E4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Assay </w:t>
      </w:r>
      <w:r w:rsidR="00B457E4" w:rsidRPr="00B457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="00BB3E4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ffice</w:t>
      </w:r>
      <w:r w:rsidR="00BB3E44" w:rsidRPr="00FC31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»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carrying out regulatory activities. </w:t>
      </w:r>
      <w:r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Based on</w:t>
      </w:r>
      <w:r w:rsidR="00863AD5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 ab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ove,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the activities of the organizations and individual entrepreneurs </w:t>
      </w:r>
      <w:r w:rsidR="00863AD5" w:rsidRPr="00E478E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engaged in the mining, production, use and circulation of precious metals and precious stones</w:t>
      </w:r>
      <w:r w:rsidR="00664C8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following</w:t>
      </w:r>
      <w:r w:rsidR="00664C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30C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risk </w:t>
      </w:r>
      <w:r w:rsidR="00852195" w:rsidRPr="007C110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can be identified:</w:t>
      </w:r>
      <w:r w:rsidR="00664C8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low-level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execution of </w:t>
      </w:r>
      <w:r w:rsidR="006A1E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anti-money laundering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internal control system organization.</w:t>
      </w:r>
    </w:p>
    <w:p w:rsidR="00220034" w:rsidRDefault="00220034" w:rsidP="0019432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However, it is worth noting that there are </w:t>
      </w:r>
      <w:r w:rsidR="00530CA3" w:rsidRPr="00530C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specific </w:t>
      </w:r>
      <w:r w:rsidRPr="007C1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features</w:t>
      </w:r>
      <w:r w:rsidR="00664C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70B07" w:rsidRPr="00530C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</w:t>
      </w:r>
      <w:r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sector</w:t>
      </w:r>
      <w:r w:rsidR="00070B07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of precious metals and precious </w:t>
      </w:r>
      <w:r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stones: most organizat</w:t>
      </w:r>
      <w:r w:rsidR="007B73DB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ions engaged in retailing jewel</w:t>
      </w:r>
      <w:r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ry, are micro-</w:t>
      </w:r>
      <w:r w:rsidR="00070B07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and </w:t>
      </w:r>
      <w:r w:rsidR="00070B07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small enterprises, and </w:t>
      </w:r>
      <w:r w:rsidR="00530CA3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therefore</w:t>
      </w:r>
      <w:r w:rsidR="00070B07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their</w:t>
      </w:r>
      <w:r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trading volumes</w:t>
      </w:r>
      <w:r w:rsidR="00070B07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are low</w:t>
      </w:r>
      <w:r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="00530CA3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 addition</w:t>
      </w:r>
      <w:r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a large number of organizations operates in remote regions where the cost of</w:t>
      </w:r>
      <w:r w:rsidR="007B73DB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jewelry does not exceed 40 000</w:t>
      </w:r>
      <w:r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rubles, which leads to a slight flow of messages </w:t>
      </w:r>
      <w:r w:rsidR="00EF657A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sent </w:t>
      </w:r>
      <w:r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within the framework of</w:t>
      </w:r>
      <w:r w:rsidR="00EF657A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 implementation of </w:t>
      </w:r>
      <w:r w:rsidR="008141D6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internal </w:t>
      </w:r>
      <w:r w:rsidR="00EF657A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control measures</w:t>
      </w:r>
      <w:r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797EDA" w:rsidRPr="007C1100" w:rsidRDefault="0007709B" w:rsidP="0019432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539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 addition,</w:t>
      </w:r>
      <w:r w:rsidR="00797EDA" w:rsidRPr="002539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it should be noted that </w:t>
      </w:r>
      <w:r w:rsidRPr="002539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there are </w:t>
      </w:r>
      <w:r w:rsidR="00797EDA" w:rsidRPr="002539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more than 10 thousand organizatio</w:t>
      </w:r>
      <w:r w:rsidRPr="002539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ns and individual entrepreneurs registered by </w:t>
      </w:r>
      <w:r w:rsidR="006A1E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FSI </w:t>
      </w:r>
      <w:r w:rsidRPr="002539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«Assay </w:t>
      </w:r>
      <w:r w:rsidR="00B457E4" w:rsidRPr="00B457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2539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ffice» who</w:t>
      </w:r>
      <w:r w:rsidR="00797EDA" w:rsidRPr="002539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declared </w:t>
      </w:r>
      <w:r w:rsidRPr="002539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jewelry production </w:t>
      </w:r>
      <w:r w:rsidR="00797EDA" w:rsidRPr="002539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 o</w:t>
      </w:r>
      <w:r w:rsidRPr="002539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 of the economic activities</w:t>
      </w:r>
      <w:r w:rsidR="00797EDA" w:rsidRPr="002539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="00664C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</w:t>
      </w:r>
      <w:r w:rsidRPr="002539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 same </w:t>
      </w:r>
      <w:r w:rsidR="008903DC" w:rsidRPr="002539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time,</w:t>
      </w:r>
      <w:r w:rsidR="00797EDA" w:rsidRPr="002539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there are more than 3.5 thousand registered </w:t>
      </w:r>
      <w:r w:rsidR="00FA5798" w:rsidRPr="002539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brands of</w:t>
      </w:r>
      <w:r w:rsidR="00105D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FA5798" w:rsidRPr="002539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jewelry</w:t>
      </w:r>
      <w:r w:rsidR="002539B3" w:rsidRPr="002539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manufacturers and</w:t>
      </w:r>
      <w:r w:rsidR="00797EDA" w:rsidRPr="002539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not all of </w:t>
      </w:r>
      <w:r w:rsidR="002539B3" w:rsidRPr="002539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them present</w:t>
      </w:r>
      <w:r w:rsidR="00797EDA" w:rsidRPr="002539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jewelry for testing and branding. Thus, a significant proportion of the </w:t>
      </w:r>
      <w:r w:rsidR="00FA5798" w:rsidRPr="002539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jewelry</w:t>
      </w:r>
      <w:r w:rsidR="00797EDA" w:rsidRPr="002539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manufacturers </w:t>
      </w:r>
      <w:r w:rsidR="00FA5798" w:rsidRPr="002539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</w:t>
      </w:r>
      <w:r w:rsidR="00105D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</w:t>
      </w:r>
      <w:r w:rsidR="00FA5798" w:rsidRPr="002539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not</w:t>
      </w:r>
      <w:r w:rsidR="00105D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actually carry</w:t>
      </w:r>
      <w:r w:rsidR="00797EDA" w:rsidRPr="002539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out this activity.</w:t>
      </w:r>
    </w:p>
    <w:p w:rsidR="00220034" w:rsidRPr="00220034" w:rsidRDefault="00F611A1" w:rsidP="00194321">
      <w:pPr>
        <w:spacing w:after="0" w:line="360" w:lineRule="auto"/>
        <w:jc w:val="both"/>
        <w:rPr>
          <w:rFonts w:ascii="Calibri" w:eastAsia="Times New Roman" w:hAnsi="Calibri" w:cs="Times New Roman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Concerning</w:t>
      </w:r>
      <w:r w:rsidR="00105D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money 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laundering carried out </w:t>
      </w:r>
      <w:r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by the subjects of the 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sector </w:t>
      </w:r>
      <w:r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of precious metals and precious 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stone</w:t>
      </w:r>
      <w:r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s, 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following</w:t>
      </w:r>
      <w:r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can be mentioned: the </w:t>
      </w:r>
      <w:r w:rsidR="002539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money laundering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risks</w:t>
      </w:r>
      <w:r w:rsidR="00A01652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are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often mani</w:t>
      </w:r>
      <w:r w:rsidR="00515DDE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fested directly in the last stage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according to the three-phase model </w:t>
      </w:r>
      <w:r w:rsidR="00515DDE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of 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money laundering </w:t>
      </w:r>
      <w:r w:rsidR="008521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(placement, layering, integration) 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</w:t>
      </w:r>
      <w:r w:rsidR="003313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7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]. On the basis of the indicated mod</w:t>
      </w:r>
      <w:r w:rsidR="00E324FA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el, </w:t>
      </w:r>
      <w:r w:rsidR="004D7A68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</w:t>
      </w:r>
      <w:r w:rsidR="004D7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tment </w:t>
      </w:r>
      <w:r w:rsidR="00E324FA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 money occurs in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 </w:t>
      </w:r>
      <w:r w:rsidR="00F56803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phase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of integration, which entails </w:t>
      </w:r>
      <w:r w:rsidR="00E324FA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investments of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laundered </w:t>
      </w:r>
      <w:r w:rsidR="00E324FA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money 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into the legitimate economy thr</w:t>
      </w:r>
      <w:r w:rsidR="008521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ough acquiring different assets such as</w:t>
      </w:r>
      <w:r w:rsidR="00507F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8521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precious stones and expensive jewelry by </w:t>
      </w:r>
      <w:r w:rsidR="00852195" w:rsidRPr="004D7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</w:t>
      </w:r>
      <w:r w:rsidR="00651E09" w:rsidRPr="007C1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beneficiaries of criminal schemes</w:t>
      </w:r>
      <w:r w:rsidR="00651E09" w:rsidRPr="004D7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C01B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However,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 percentage of organizat</w:t>
      </w:r>
      <w:r w:rsidR="002B0E5C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ions engaged in retailing of </w:t>
      </w:r>
      <w:r w:rsidR="002B0E5C" w:rsidRPr="002B0E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«</w:t>
      </w:r>
      <w:r w:rsidR="002B0E5C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premium</w:t>
      </w:r>
      <w:r w:rsidR="002B0E5C" w:rsidRPr="002B0E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»</w:t>
      </w:r>
      <w:r w:rsidR="00507F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2B0E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segment</w:t>
      </w:r>
      <w:r w:rsidR="002B0E5C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jewelry 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 fairly</w:t>
      </w:r>
      <w:r w:rsidR="00507F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smal</w:t>
      </w:r>
      <w:r w:rsidR="004B3966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l, so </w:t>
      </w:r>
      <w:r w:rsidR="004B3966" w:rsidRPr="00573D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risks of </w:t>
      </w:r>
      <w:r w:rsidR="00573D5D" w:rsidRPr="007C1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unhindered </w:t>
      </w:r>
      <w:r w:rsidR="004B3966" w:rsidRPr="007C1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usage</w:t>
      </w:r>
      <w:r w:rsidR="004B3966" w:rsidRPr="00573D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of«</w:t>
      </w:r>
      <w:r w:rsidR="00220034" w:rsidRPr="00573D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shadow</w:t>
      </w:r>
      <w:r w:rsidR="004B3966" w:rsidRPr="004B39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»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schemes are practically non-existent.</w:t>
      </w:r>
    </w:p>
    <w:p w:rsidR="00E478E8" w:rsidRPr="002000C7" w:rsidRDefault="00220034" w:rsidP="0019432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Thus, it seems possible to argue that the risks of money laundering </w:t>
      </w:r>
      <w:r w:rsidR="008141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by </w:t>
      </w:r>
      <w:r w:rsidR="008141D6" w:rsidRPr="00E478E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the organizations and individual entrepreneurs engaged in the mining, production, use and circulation of precious metals and precious stones</w:t>
      </w:r>
      <w:r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="008141D6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are</w:t>
      </w:r>
      <w:r w:rsidR="00507F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573D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sufficiently </w:t>
      </w:r>
      <w:r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low and manifested directly in the implementation </w:t>
      </w:r>
      <w:r w:rsidR="008141D6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 internal control measures by the subjects</w:t>
      </w:r>
      <w:r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as wel</w:t>
      </w:r>
      <w:r w:rsidR="00503967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 as in</w:t>
      </w:r>
      <w:r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 stage of i</w:t>
      </w:r>
      <w:r w:rsidR="00503967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ntegration of legalized</w:t>
      </w:r>
      <w:r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proceeds into the legitimate economy.</w:t>
      </w:r>
    </w:p>
    <w:p w:rsidR="00F64CDC" w:rsidRPr="002000C7" w:rsidRDefault="00F64CDC" w:rsidP="0019432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F64CDC" w:rsidRPr="002000C7" w:rsidRDefault="00F64CDC" w:rsidP="0019432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20034" w:rsidRPr="00220034" w:rsidRDefault="003011C2" w:rsidP="00F64CDC">
      <w:pPr>
        <w:spacing w:after="0" w:line="360" w:lineRule="auto"/>
        <w:rPr>
          <w:rFonts w:ascii="Calibri" w:eastAsia="Times New Roman" w:hAnsi="Calibri" w:cs="Times New Roman"/>
          <w:lang w:val="en-US" w:eastAsia="ru-RU"/>
        </w:rPr>
      </w:pPr>
      <w:r w:rsidRPr="00FD6B7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References</w:t>
      </w:r>
    </w:p>
    <w:p w:rsidR="00220034" w:rsidRPr="00220034" w:rsidRDefault="003011C2" w:rsidP="002000C7">
      <w:pPr>
        <w:spacing w:after="0" w:line="360" w:lineRule="auto"/>
        <w:ind w:left="284" w:hanging="284"/>
        <w:jc w:val="both"/>
        <w:rPr>
          <w:rFonts w:ascii="Calibri" w:eastAsia="Times New Roman" w:hAnsi="Calibri" w:cs="Times New Roman"/>
          <w:lang w:val="en-US" w:eastAsia="ru-RU"/>
        </w:rPr>
      </w:pPr>
      <w:r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]</w:t>
      </w:r>
      <w:r w:rsidR="002000C7" w:rsidRPr="002000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BF664D" w:rsidRPr="00BF664D">
        <w:rPr>
          <w:rFonts w:ascii="Times New Roman" w:eastAsia="MS Mincho" w:hAnsi="Times New Roman" w:cs="Times New Roman"/>
          <w:sz w:val="28"/>
          <w:szCs w:val="28"/>
          <w:lang w:val="en-GB" w:eastAsia="ja-JP"/>
        </w:rPr>
        <w:t>Federal Law of August 7, 2001 No. 115-FZ – «On Combating Legalisation (Laundering) of Proceeds from Crime and Financing of Terrorism</w:t>
      </w:r>
      <w:proofErr w:type="gramStart"/>
      <w:r w:rsidR="00BF664D" w:rsidRPr="00BF664D">
        <w:rPr>
          <w:rFonts w:ascii="Times New Roman" w:eastAsia="MS Mincho" w:hAnsi="Times New Roman" w:cs="Times New Roman"/>
          <w:sz w:val="28"/>
          <w:szCs w:val="28"/>
          <w:lang w:val="en-GB" w:eastAsia="ja-JP"/>
        </w:rPr>
        <w:t>»</w:t>
      </w:r>
      <w:r w:rsidR="00BF664D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gramEnd"/>
      <w:r w:rsidR="00BF664D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ed. by </w:t>
      </w:r>
      <w:r w:rsidR="00BF664D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29.07.2017): [E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lectronic resource]/</w:t>
      </w:r>
      <w:proofErr w:type="spellStart"/>
      <w:r w:rsidR="00BF664D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Consul</w:t>
      </w:r>
      <w:r w:rsidR="000943E7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tantPlus</w:t>
      </w:r>
      <w:proofErr w:type="spellEnd"/>
      <w:r w:rsidR="000943E7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1997-2017. Electron. d</w:t>
      </w:r>
      <w:r w:rsidR="00BF664D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ata</w:t>
      </w:r>
      <w:r w:rsidR="000943E7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ccess mode: http://consultant.ru/document/cons_doc_LAW_32834 (date of circulation 06.11.2017).</w:t>
      </w:r>
    </w:p>
    <w:p w:rsidR="00220034" w:rsidRPr="00220034" w:rsidRDefault="003011C2" w:rsidP="002000C7">
      <w:pPr>
        <w:spacing w:after="0" w:line="360" w:lineRule="auto"/>
        <w:ind w:left="284" w:hanging="284"/>
        <w:jc w:val="both"/>
        <w:rPr>
          <w:rFonts w:ascii="Calibri" w:eastAsia="Times New Roman" w:hAnsi="Calibri" w:cs="Times New Roman"/>
          <w:lang w:val="en-US" w:eastAsia="ru-RU"/>
        </w:rPr>
      </w:pPr>
      <w:r w:rsidRPr="000E70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</w:t>
      </w:r>
      <w:r w:rsidR="00220034" w:rsidRPr="000E70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</w:t>
      </w:r>
      <w:r w:rsidRPr="000E70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]</w:t>
      </w:r>
      <w:r w:rsidR="002000C7" w:rsidRPr="002000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943E7" w:rsidRPr="007C11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Matters concerning</w:t>
      </w:r>
      <w:r w:rsidR="000943E7" w:rsidRPr="000E701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the Federal</w:t>
      </w:r>
      <w:r w:rsidR="000943E7" w:rsidRPr="000943E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Financial Monitoring Service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approved by </w:t>
      </w:r>
      <w:r w:rsidR="00B457E4" w:rsidRPr="00B457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Decree of the President of the Russian Federation from 13.06.2012 </w:t>
      </w:r>
      <w:r w:rsidR="000943E7" w:rsidRPr="00BF664D">
        <w:rPr>
          <w:rFonts w:ascii="Times New Roman" w:eastAsia="MS Mincho" w:hAnsi="Times New Roman" w:cs="Times New Roman"/>
          <w:sz w:val="28"/>
          <w:szCs w:val="28"/>
          <w:lang w:val="en-GB" w:eastAsia="ja-JP"/>
        </w:rPr>
        <w:t>No</w:t>
      </w:r>
      <w:r w:rsidR="000943E7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808 (ed. by 08.02.2016): [E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lectronic resource]/Federal financial</w:t>
      </w:r>
      <w:r w:rsidR="000943E7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monitoring service. 2001-2017. Electron. data a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ccess mode: </w:t>
      </w:r>
      <w:hyperlink r:id="rId8" w:tgtFrame="_top" w:history="1">
        <w:r w:rsidR="00220034" w:rsidRPr="00E478E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http://fedsfm.ru/about/legal/752</w:t>
        </w:r>
      </w:hyperlink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(date of circulation 06.11.2017).</w:t>
      </w:r>
    </w:p>
    <w:p w:rsidR="00BD4CE8" w:rsidRPr="00BD4CE8" w:rsidRDefault="003011C2" w:rsidP="002000C7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</w:t>
      </w:r>
      <w:r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]</w:t>
      </w:r>
      <w:r w:rsidR="002000C7" w:rsidRPr="002000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B457E4" w:rsidRPr="00B457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</w:t>
      </w:r>
      <w:r w:rsidR="00BD4C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Decree of the Government of the Russian Federation from October 1, 2015 No. 1052 </w:t>
      </w:r>
      <w:r w:rsidR="00BD4CE8" w:rsidRPr="00BD4C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«</w:t>
      </w:r>
      <w:r w:rsidR="00BD4C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On the conduct of the special accounting of legal entities and individual </w:t>
      </w:r>
      <w:proofErr w:type="spellStart"/>
      <w:r w:rsidR="00BD4C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enterpreneurs</w:t>
      </w:r>
      <w:proofErr w:type="spellEnd"/>
      <w:r w:rsidR="00BD4C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carrying out transactions with precious metals and precious stones</w:t>
      </w:r>
      <w:r w:rsidR="00BD4CE8" w:rsidRPr="00BD4C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»: </w:t>
      </w:r>
      <w:r w:rsidR="00BD4CE8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[Electronic resource]/</w:t>
      </w:r>
      <w:proofErr w:type="spellStart"/>
      <w:r w:rsidR="00BD4CE8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ConsultantPlus</w:t>
      </w:r>
      <w:proofErr w:type="spellEnd"/>
      <w:r w:rsidR="00BD4CE8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1997-2017. Electron. dataaccess mode: http://consultan</w:t>
      </w:r>
      <w:r w:rsidR="00BD4C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t.ru/document/cons_doc_LAW_186841</w:t>
      </w:r>
      <w:r w:rsidR="00BD4CE8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(date of circulation 0</w:t>
      </w:r>
      <w:r w:rsidR="00BD4CE8" w:rsidRPr="00BD4C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6</w:t>
      </w:r>
      <w:r w:rsidR="00BD4CE8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.11.2017).</w:t>
      </w:r>
    </w:p>
    <w:p w:rsidR="00220034" w:rsidRPr="00220034" w:rsidRDefault="00BD4CE8" w:rsidP="002000C7">
      <w:pPr>
        <w:spacing w:after="0" w:line="360" w:lineRule="auto"/>
        <w:ind w:left="284" w:hanging="284"/>
        <w:jc w:val="both"/>
        <w:rPr>
          <w:rFonts w:ascii="Calibri" w:eastAsia="Times New Roman" w:hAnsi="Calibri" w:cs="Times New Roman"/>
          <w:lang w:val="en-US" w:eastAsia="ru-RU"/>
        </w:rPr>
      </w:pPr>
      <w:r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[4]</w:t>
      </w:r>
      <w:r w:rsidR="002000C7" w:rsidRPr="002000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53747D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Strategy of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information society development in the Russian Federation for 2017-2030 years, approved by the Decree of the President of the Russian Federation from 09.05.2017 </w:t>
      </w:r>
      <w:r w:rsidR="0053747D" w:rsidRPr="00BF664D">
        <w:rPr>
          <w:rFonts w:ascii="Times New Roman" w:eastAsia="MS Mincho" w:hAnsi="Times New Roman" w:cs="Times New Roman"/>
          <w:sz w:val="28"/>
          <w:szCs w:val="28"/>
          <w:lang w:val="en-GB" w:eastAsia="ja-JP"/>
        </w:rPr>
        <w:t>No</w:t>
      </w:r>
      <w:r w:rsidR="0053747D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203: [E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lectronic resource]/Office of the</w:t>
      </w:r>
      <w:r w:rsidR="0053747D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President of Russia year 2017. Electron. </w:t>
      </w:r>
      <w:r w:rsidR="00FD6B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53747D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ata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access</w:t>
      </w:r>
      <w:r w:rsidR="0053747D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mode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http://kremlin.ru/acts/bank/41919/page/1 (date of circulation 06.11.2017).</w:t>
      </w:r>
    </w:p>
    <w:p w:rsidR="00220034" w:rsidRPr="00220034" w:rsidRDefault="00BD4CE8" w:rsidP="002000C7">
      <w:pPr>
        <w:spacing w:after="0" w:line="360" w:lineRule="auto"/>
        <w:ind w:left="284" w:hanging="284"/>
        <w:jc w:val="both"/>
        <w:rPr>
          <w:rFonts w:ascii="Calibri" w:eastAsia="Times New Roman" w:hAnsi="Calibri" w:cs="Times New Roman"/>
          <w:lang w:val="en-US" w:eastAsia="ru-RU"/>
        </w:rPr>
      </w:pPr>
      <w:r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[5]</w:t>
      </w:r>
      <w:r w:rsidR="002000C7" w:rsidRPr="002000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Program</w:t>
      </w:r>
      <w:r w:rsidR="00053B11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of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 digital eco</w:t>
      </w:r>
      <w:r w:rsidR="00053B11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nomy of the Russian Federation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approved by the Decree of the Government of the Russ</w:t>
      </w:r>
      <w:r w:rsidR="00053B11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ian Federation from 28.07.2017 </w:t>
      </w:r>
      <w:r w:rsidR="00053B11" w:rsidRPr="00BF664D">
        <w:rPr>
          <w:rFonts w:ascii="Times New Roman" w:eastAsia="MS Mincho" w:hAnsi="Times New Roman" w:cs="Times New Roman"/>
          <w:sz w:val="28"/>
          <w:szCs w:val="28"/>
          <w:lang w:val="en-GB" w:eastAsia="ja-JP"/>
        </w:rPr>
        <w:t>No</w:t>
      </w:r>
      <w:r w:rsidR="00053B11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1632-p: [E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lectronic resource]/Analytical Centre of the Government of the</w:t>
      </w:r>
      <w:r w:rsidR="00053B11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Russian Federation. 1995-2017. Electron. data a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ccess mode: http://ac.gov.ru/files/content/14091/1632-r-pdf.pdf (date of circulation 06.11.2017).</w:t>
      </w:r>
    </w:p>
    <w:p w:rsidR="00220034" w:rsidRPr="00220034" w:rsidRDefault="003011C2" w:rsidP="002000C7">
      <w:pPr>
        <w:spacing w:after="0" w:line="360" w:lineRule="auto"/>
        <w:ind w:left="284" w:hanging="284"/>
        <w:jc w:val="both"/>
        <w:rPr>
          <w:rFonts w:ascii="Calibri" w:eastAsia="Times New Roman" w:hAnsi="Calibri" w:cs="Times New Roman"/>
          <w:lang w:val="en-US" w:eastAsia="ru-RU"/>
        </w:rPr>
      </w:pPr>
      <w:r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</w:t>
      </w:r>
      <w:r w:rsidR="00BD4CE8" w:rsidRPr="00BD4C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6</w:t>
      </w:r>
      <w:r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]</w:t>
      </w:r>
      <w:r w:rsidR="002000C7" w:rsidRPr="002000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Regulations on</w:t>
      </w:r>
      <w:r w:rsidR="00053B11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 provision of information to the F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ederal financial monitori</w:t>
      </w:r>
      <w:r w:rsidR="00053B11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ng service by the organizations </w:t>
      </w:r>
      <w:r w:rsidR="00053B11" w:rsidRPr="00921D72">
        <w:rPr>
          <w:rFonts w:ascii="Times New Roman" w:hAnsi="Times New Roman" w:cs="Times New Roman"/>
          <w:sz w:val="28"/>
          <w:szCs w:val="28"/>
          <w:lang w:val="en-GB"/>
        </w:rPr>
        <w:t>performing operations with monetary funds or other assets</w:t>
      </w:r>
      <w:r w:rsidR="00053B11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and individual entrepreneurs and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 Federal ser</w:t>
      </w:r>
      <w:r w:rsidR="00053B11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vice for financial monitoring requests to the o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rganization, </w:t>
      </w:r>
      <w:r w:rsidR="00053B11" w:rsidRPr="00921D72">
        <w:rPr>
          <w:rFonts w:ascii="Times New Roman" w:hAnsi="Times New Roman" w:cs="Times New Roman"/>
          <w:sz w:val="28"/>
          <w:szCs w:val="28"/>
          <w:lang w:val="en-GB"/>
        </w:rPr>
        <w:t>performing operations with monetary funds or other assets</w:t>
      </w:r>
      <w:r w:rsidR="00B457E4" w:rsidRPr="00B457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and individual entrepreneurs, approved by the Government of the Russian Federation from 19.03.2014 </w:t>
      </w:r>
      <w:r w:rsidR="002E4BBD" w:rsidRPr="00BF664D">
        <w:rPr>
          <w:rFonts w:ascii="Times New Roman" w:eastAsia="MS Mincho" w:hAnsi="Times New Roman" w:cs="Times New Roman"/>
          <w:sz w:val="28"/>
          <w:szCs w:val="28"/>
          <w:lang w:val="en-GB" w:eastAsia="ja-JP"/>
        </w:rPr>
        <w:t>No</w:t>
      </w:r>
      <w:r w:rsidR="008F02F6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209 (ed. by 17.09.2016</w:t>
      </w:r>
      <w:r w:rsidR="002D1ACC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): [Electronic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resource]/</w:t>
      </w:r>
      <w:proofErr w:type="spellStart"/>
      <w:r w:rsidR="002D1ACC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ConsultantPlus</w:t>
      </w:r>
      <w:proofErr w:type="spellEnd"/>
      <w:r w:rsidR="002D1ACC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1997-2017. Electron. data a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ccess mode: http://</w:t>
      </w:r>
      <w:r w:rsidR="00220034" w:rsidRPr="001943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consultant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220034" w:rsidRPr="002200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ru/document/cons_doc_LAW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 160535(date of circulation 08.11.2017).</w:t>
      </w:r>
    </w:p>
    <w:p w:rsidR="00220034" w:rsidRPr="00220034" w:rsidRDefault="003011C2" w:rsidP="002000C7">
      <w:pPr>
        <w:spacing w:after="0" w:line="360" w:lineRule="auto"/>
        <w:ind w:left="284" w:hanging="284"/>
        <w:jc w:val="both"/>
        <w:rPr>
          <w:rFonts w:ascii="Calibri" w:eastAsia="Times New Roman" w:hAnsi="Calibri" w:cs="Times New Roman"/>
          <w:lang w:val="en-US" w:eastAsia="ru-RU"/>
        </w:rPr>
      </w:pPr>
      <w:r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</w:t>
      </w:r>
      <w:r w:rsidR="00BD4CE8" w:rsidRPr="00BD4C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7</w:t>
      </w:r>
      <w:r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]</w:t>
      </w:r>
      <w:r w:rsidR="002000C7" w:rsidRPr="002000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34402A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Zubkov</w:t>
      </w:r>
      <w:proofErr w:type="spellEnd"/>
      <w:r w:rsidR="0034402A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V.A., </w:t>
      </w:r>
      <w:proofErr w:type="spellStart"/>
      <w:r w:rsidR="0034402A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Osipov</w:t>
      </w:r>
      <w:proofErr w:type="spellEnd"/>
      <w:r w:rsidR="0034402A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S.K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., Russian Federation in the international system of counteraction to legalization </w:t>
      </w:r>
      <w:r w:rsidR="00D92172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(laundering) of criminal proceeds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and terrorism financing. 2-nd </w:t>
      </w:r>
      <w:r w:rsidR="00D92172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Edition, revised and expanded.-M</w:t>
      </w:r>
      <w:r w:rsidR="00220034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.: Publishing </w:t>
      </w:r>
      <w:r w:rsidR="00D92172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House "</w:t>
      </w:r>
      <w:proofErr w:type="spellStart"/>
      <w:r w:rsidR="00D92172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Gorodets</w:t>
      </w:r>
      <w:proofErr w:type="spellEnd"/>
      <w:r w:rsidR="00D92172" w:rsidRPr="00E47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", 2007.-752 p</w:t>
      </w:r>
      <w:r w:rsidR="00BE26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sectPr w:rsidR="00220034" w:rsidRPr="00220034" w:rsidSect="00FF201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034"/>
    <w:rsid w:val="00041802"/>
    <w:rsid w:val="00053B11"/>
    <w:rsid w:val="00065129"/>
    <w:rsid w:val="00070B07"/>
    <w:rsid w:val="00072FFF"/>
    <w:rsid w:val="0007709B"/>
    <w:rsid w:val="000943E7"/>
    <w:rsid w:val="000D53F9"/>
    <w:rsid w:val="000E0915"/>
    <w:rsid w:val="000E7012"/>
    <w:rsid w:val="000F4847"/>
    <w:rsid w:val="00105D16"/>
    <w:rsid w:val="00144165"/>
    <w:rsid w:val="00147FC2"/>
    <w:rsid w:val="00155717"/>
    <w:rsid w:val="0017737F"/>
    <w:rsid w:val="00194321"/>
    <w:rsid w:val="001A48A4"/>
    <w:rsid w:val="001E3604"/>
    <w:rsid w:val="002000C7"/>
    <w:rsid w:val="00220034"/>
    <w:rsid w:val="0024088E"/>
    <w:rsid w:val="002539B3"/>
    <w:rsid w:val="002B0E5C"/>
    <w:rsid w:val="002D1ACC"/>
    <w:rsid w:val="002E4BBD"/>
    <w:rsid w:val="002F7569"/>
    <w:rsid w:val="003011C2"/>
    <w:rsid w:val="0033136B"/>
    <w:rsid w:val="0034402A"/>
    <w:rsid w:val="003A694C"/>
    <w:rsid w:val="003B3244"/>
    <w:rsid w:val="003D0364"/>
    <w:rsid w:val="003D6137"/>
    <w:rsid w:val="003E5853"/>
    <w:rsid w:val="00494DD1"/>
    <w:rsid w:val="004B3966"/>
    <w:rsid w:val="004D7A68"/>
    <w:rsid w:val="00501E5F"/>
    <w:rsid w:val="00503967"/>
    <w:rsid w:val="00507FE9"/>
    <w:rsid w:val="00515DDE"/>
    <w:rsid w:val="00530CA3"/>
    <w:rsid w:val="00530DF9"/>
    <w:rsid w:val="00535F7F"/>
    <w:rsid w:val="0053747D"/>
    <w:rsid w:val="00573D5D"/>
    <w:rsid w:val="005D3000"/>
    <w:rsid w:val="005F10ED"/>
    <w:rsid w:val="00607276"/>
    <w:rsid w:val="00651E09"/>
    <w:rsid w:val="00657E32"/>
    <w:rsid w:val="00664C8B"/>
    <w:rsid w:val="00666A08"/>
    <w:rsid w:val="006A1E84"/>
    <w:rsid w:val="006B053E"/>
    <w:rsid w:val="006E5E7A"/>
    <w:rsid w:val="00701003"/>
    <w:rsid w:val="00797EDA"/>
    <w:rsid w:val="007A01F3"/>
    <w:rsid w:val="007B73DB"/>
    <w:rsid w:val="007C1100"/>
    <w:rsid w:val="007C19D5"/>
    <w:rsid w:val="007C6C63"/>
    <w:rsid w:val="007D219B"/>
    <w:rsid w:val="007D2DDC"/>
    <w:rsid w:val="007D664F"/>
    <w:rsid w:val="007E3F37"/>
    <w:rsid w:val="007F187C"/>
    <w:rsid w:val="008141D6"/>
    <w:rsid w:val="00822F46"/>
    <w:rsid w:val="00824386"/>
    <w:rsid w:val="00834632"/>
    <w:rsid w:val="00852195"/>
    <w:rsid w:val="008534D1"/>
    <w:rsid w:val="00863AD5"/>
    <w:rsid w:val="00884798"/>
    <w:rsid w:val="008903DC"/>
    <w:rsid w:val="008A235F"/>
    <w:rsid w:val="008A3378"/>
    <w:rsid w:val="008D3D7D"/>
    <w:rsid w:val="008F02F6"/>
    <w:rsid w:val="00921D72"/>
    <w:rsid w:val="00923A95"/>
    <w:rsid w:val="009359D7"/>
    <w:rsid w:val="00960D32"/>
    <w:rsid w:val="00973252"/>
    <w:rsid w:val="0099286F"/>
    <w:rsid w:val="009C0AF5"/>
    <w:rsid w:val="009C4C8A"/>
    <w:rsid w:val="00A01652"/>
    <w:rsid w:val="00A1164C"/>
    <w:rsid w:val="00A213F0"/>
    <w:rsid w:val="00A25DA0"/>
    <w:rsid w:val="00A617BF"/>
    <w:rsid w:val="00A72017"/>
    <w:rsid w:val="00A938BD"/>
    <w:rsid w:val="00B03B76"/>
    <w:rsid w:val="00B13A44"/>
    <w:rsid w:val="00B457E4"/>
    <w:rsid w:val="00B773A3"/>
    <w:rsid w:val="00BA27D9"/>
    <w:rsid w:val="00BB3E44"/>
    <w:rsid w:val="00BC10E3"/>
    <w:rsid w:val="00BD4CE8"/>
    <w:rsid w:val="00BE2660"/>
    <w:rsid w:val="00BF664D"/>
    <w:rsid w:val="00C01BDD"/>
    <w:rsid w:val="00C3532C"/>
    <w:rsid w:val="00CB2D1E"/>
    <w:rsid w:val="00CC5281"/>
    <w:rsid w:val="00CD6D89"/>
    <w:rsid w:val="00CD7CD3"/>
    <w:rsid w:val="00CE2337"/>
    <w:rsid w:val="00CE3651"/>
    <w:rsid w:val="00CE76A8"/>
    <w:rsid w:val="00D2540C"/>
    <w:rsid w:val="00D45D71"/>
    <w:rsid w:val="00D52216"/>
    <w:rsid w:val="00D61C99"/>
    <w:rsid w:val="00D87F9A"/>
    <w:rsid w:val="00D92172"/>
    <w:rsid w:val="00D96AD6"/>
    <w:rsid w:val="00DB24A0"/>
    <w:rsid w:val="00DC02BC"/>
    <w:rsid w:val="00DC5169"/>
    <w:rsid w:val="00DC697F"/>
    <w:rsid w:val="00DF6F97"/>
    <w:rsid w:val="00E324FA"/>
    <w:rsid w:val="00E478E8"/>
    <w:rsid w:val="00E52256"/>
    <w:rsid w:val="00E63EFC"/>
    <w:rsid w:val="00EC684E"/>
    <w:rsid w:val="00EF657A"/>
    <w:rsid w:val="00F56803"/>
    <w:rsid w:val="00F611A1"/>
    <w:rsid w:val="00F64CDC"/>
    <w:rsid w:val="00F93910"/>
    <w:rsid w:val="00FA5798"/>
    <w:rsid w:val="00FC3131"/>
    <w:rsid w:val="00FD5D06"/>
    <w:rsid w:val="00FD6B72"/>
    <w:rsid w:val="00FF2010"/>
    <w:rsid w:val="00FF6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63009"/>
  <w15:docId w15:val="{33775E24-05E9-4EF5-BAC6-B347D3F6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37F"/>
  </w:style>
  <w:style w:type="paragraph" w:styleId="1">
    <w:name w:val="heading 1"/>
    <w:basedOn w:val="a"/>
    <w:next w:val="a"/>
    <w:link w:val="10"/>
    <w:uiPriority w:val="9"/>
    <w:qFormat/>
    <w:rsid w:val="00F64C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003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20034"/>
    <w:pPr>
      <w:ind w:left="720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4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32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3B324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7D6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64CD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0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7121">
          <w:marLeft w:val="0"/>
          <w:marRight w:val="0"/>
          <w:marTop w:val="0"/>
          <w:marBottom w:val="0"/>
          <w:divBdr>
            <w:top w:val="single" w:sz="12" w:space="0" w:color="D2D2D2"/>
            <w:left w:val="single" w:sz="12" w:space="0" w:color="D2D2D2"/>
            <w:bottom w:val="single" w:sz="12" w:space="0" w:color="D2D2D2"/>
            <w:right w:val="single" w:sz="12" w:space="0" w:color="D2D2D2"/>
          </w:divBdr>
          <w:divsChild>
            <w:div w:id="46204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2204">
              <w:marLeft w:val="60"/>
              <w:marRight w:val="60"/>
              <w:marTop w:val="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translator.com/bv.aspx?from=ru&amp;to=en&amp;a=http%3A%2F%2Ffedsfm.ru%2Fabout%2Flegal%2F752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hyperlink" Target="https://creativecommons.org/licenses/by/4.0/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e.kosova@hotmail.com" TargetMode="Externa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ca-fs-PF2\Doc$\UOND\kosovaea\&#1056;&#1072;&#1073;&#1086;&#1095;&#1080;&#1081;%20&#1089;&#1090;&#1086;&#1083;\&#1057;&#1090;&#1072;&#1090;&#1100;&#1103;\&#1043;&#1088;&#1072;&#1092;&#1080;&#108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EED-432A-AC31-200BCA2B7C7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EED-432A-AC31-200BCA2B7C7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EED-432A-AC31-200BCA2B7C7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EED-432A-AC31-200BCA2B7C7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8EED-432A-AC31-200BCA2B7C7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8EED-432A-AC31-200BCA2B7C70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8EED-432A-AC31-200BCA2B7C70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8EED-432A-AC31-200BCA2B7C70}"/>
              </c:ext>
            </c:extLst>
          </c:dPt>
          <c:dLbls>
            <c:dLbl>
              <c:idx val="0"/>
              <c:layout>
                <c:manualLayout>
                  <c:x val="1.8957345971563903E-2"/>
                  <c:y val="-1.34340890008396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Manufacture of </a:t>
                    </a:r>
                    <a:r>
                      <a:rPr lang="en-US" sz="1000" b="0" i="0" u="none" strike="noStrike" baseline="0"/>
                      <a:t>jewellery items</a:t>
                    </a:r>
                    <a:r>
                      <a:rPr lang="en-US"/>
                      <a:t>
17%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EED-432A-AC31-200BCA2B7C70}"/>
                </c:ext>
              </c:extLst>
            </c:dLbl>
            <c:dLbl>
              <c:idx val="1"/>
              <c:layout>
                <c:manualLayout>
                  <c:x val="0"/>
                  <c:y val="-2.015113350125945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Manufacture of precious metals
2%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EED-432A-AC31-200BCA2B7C70}"/>
                </c:ext>
              </c:extLst>
            </c:dLbl>
            <c:dLbl>
              <c:idx val="2"/>
              <c:layout>
                <c:manualLayout>
                  <c:x val="1.2638230647709321E-2"/>
                  <c:y val="-2.015139795183040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Wholesale of precious stones
8%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EED-432A-AC31-200BCA2B7C70}"/>
                </c:ext>
              </c:extLst>
            </c:dLbl>
            <c:dLbl>
              <c:idx val="3"/>
              <c:layout>
                <c:manualLayout>
                  <c:x val="3.0814394646166885E-3"/>
                  <c:y val="-3.768579305420580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Waste and scrap processing of precious metals
4%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011387013020962"/>
                      <c:h val="0.1772760104986876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8EED-432A-AC31-200BCA2B7C70}"/>
                </c:ext>
              </c:extLst>
            </c:dLbl>
            <c:dLbl>
              <c:idx val="4"/>
              <c:layout>
                <c:manualLayout>
                  <c:x val="-1.8676073874247769E-2"/>
                  <c:y val="7.73333333333334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Extraction of precious metals and </a:t>
                    </a:r>
                    <a:r>
                      <a:rPr lang="en-US" sz="1000" b="0" i="0" u="none" strike="noStrike" baseline="0"/>
                      <a:t>stones</a:t>
                    </a:r>
                    <a:r>
                      <a:rPr lang="en-US"/>
                      <a:t> 
1%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EED-432A-AC31-200BCA2B7C70}"/>
                </c:ext>
              </c:extLst>
            </c:dLbl>
            <c:dLbl>
              <c:idx val="5"/>
              <c:layout>
                <c:manualLayout>
                  <c:x val="2.3170089520800422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000" b="0" i="0" u="none" strike="noStrike" baseline="0"/>
                      <a:t>Wholesale of jewellery items</a:t>
                    </a:r>
                    <a:r>
                      <a:rPr lang="en-US"/>
                      <a:t>
21%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EED-432A-AC31-200BCA2B7C70}"/>
                </c:ext>
              </c:extLst>
            </c:dLbl>
            <c:dLbl>
              <c:idx val="6"/>
              <c:layout>
                <c:manualLayout>
                  <c:x val="-2.948920484465509E-2"/>
                  <c:y val="1.0075566750629719E-2"/>
                </c:manualLayout>
              </c:layout>
              <c:tx>
                <c:rich>
                  <a:bodyPr/>
                  <a:lstStyle/>
                  <a:p>
                    <a:r>
                      <a:rPr lang="en-US" sz="1000" b="0" i="0" u="none" strike="noStrike" baseline="0"/>
                      <a:t>Retail trade of jewellery items</a:t>
                    </a:r>
                    <a:r>
                      <a:rPr lang="en-US"/>
                      <a:t>
33%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EED-432A-AC31-200BCA2B7C70}"/>
                </c:ext>
              </c:extLst>
            </c:dLbl>
            <c:dLbl>
              <c:idx val="7"/>
              <c:layout>
                <c:manualLayout>
                  <c:x val="-7.9292292254937335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Scrap and waste purchase of precious metals</a:t>
                    </a:r>
                  </a:p>
                  <a:p>
                    <a:r>
                      <a:rPr lang="en-US"/>
                      <a:t>14%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EED-432A-AC31-200BCA2B7C70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</c:ext>
            </c:extLst>
          </c:dLbls>
          <c:cat>
            <c:strRef>
              <c:f>Лист1!$N$11:$N$18</c:f>
              <c:strCache>
                <c:ptCount val="8"/>
                <c:pt idx="0">
                  <c:v>Производство ювелирных изделий</c:v>
                </c:pt>
                <c:pt idx="1">
                  <c:v>Производство драгоценных металлов</c:v>
                </c:pt>
                <c:pt idx="2">
                  <c:v>Оптовая торговля драгоценными камнями</c:v>
                </c:pt>
                <c:pt idx="3">
                  <c:v>Обработка отходов и лома драгоценных металлов</c:v>
                </c:pt>
                <c:pt idx="4">
                  <c:v>Добыча драгоценных металлов и камней</c:v>
                </c:pt>
                <c:pt idx="5">
                  <c:v>Оптовая торговля ювелирными изделиями</c:v>
                </c:pt>
                <c:pt idx="6">
                  <c:v>Розничная торговля ювелирными изделиями</c:v>
                </c:pt>
                <c:pt idx="7">
                  <c:v>Скупка лома и отходов драгоценных металлов</c:v>
                </c:pt>
              </c:strCache>
            </c:strRef>
          </c:cat>
          <c:val>
            <c:numRef>
              <c:f>Лист1!$O$11:$O$18</c:f>
              <c:numCache>
                <c:formatCode>0.0%</c:formatCode>
                <c:ptCount val="8"/>
                <c:pt idx="0">
                  <c:v>0.16704172241819731</c:v>
                </c:pt>
                <c:pt idx="1">
                  <c:v>1.8124315776669515E-2</c:v>
                </c:pt>
                <c:pt idx="2">
                  <c:v>8.5619146089283768E-2</c:v>
                </c:pt>
                <c:pt idx="3">
                  <c:v>4.4672180999878422E-2</c:v>
                </c:pt>
                <c:pt idx="4">
                  <c:v>9.4270769979321271E-3</c:v>
                </c:pt>
                <c:pt idx="5">
                  <c:v>0.21115131979077972</c:v>
                </c:pt>
                <c:pt idx="6">
                  <c:v>0.32798625471353848</c:v>
                </c:pt>
                <c:pt idx="7">
                  <c:v>0.13597798321372095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8EED-432A-AC31-200BCA2B7C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1830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 П.Ю.</dc:creator>
  <cp:lastModifiedBy>User</cp:lastModifiedBy>
  <cp:revision>2</cp:revision>
  <dcterms:created xsi:type="dcterms:W3CDTF">2017-11-28T23:29:00Z</dcterms:created>
  <dcterms:modified xsi:type="dcterms:W3CDTF">2017-11-28T23:29:00Z</dcterms:modified>
</cp:coreProperties>
</file>