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EB4" w:rsidRPr="00BB103B" w:rsidRDefault="00B25659" w:rsidP="002E59F5">
      <w:pPr>
        <w:rPr>
          <w:rFonts w:ascii="Times New Roman" w:hAnsi="Times New Roman" w:cs="Times New Roman"/>
          <w:b/>
          <w:sz w:val="28"/>
          <w:szCs w:val="28"/>
          <w:shd w:val="clear" w:color="auto" w:fill="FFFFFF"/>
          <w:lang w:val="en-US"/>
        </w:rPr>
      </w:pPr>
      <w:bookmarkStart w:id="0" w:name="_GoBack"/>
      <w:bookmarkEnd w:id="0"/>
      <w:r w:rsidRPr="00B25659">
        <w:rPr>
          <w:rFonts w:ascii="Times New Roman" w:hAnsi="Times New Roman" w:cs="Times New Roman"/>
          <w:b/>
          <w:sz w:val="28"/>
          <w:szCs w:val="28"/>
          <w:shd w:val="clear" w:color="auto" w:fill="FFFFFF"/>
          <w:lang w:val="en-US"/>
        </w:rPr>
        <w:t>Creati</w:t>
      </w:r>
      <w:r w:rsidR="00715787">
        <w:rPr>
          <w:rFonts w:ascii="Times New Roman" w:hAnsi="Times New Roman" w:cs="Times New Roman"/>
          <w:b/>
          <w:sz w:val="28"/>
          <w:szCs w:val="28"/>
          <w:shd w:val="clear" w:color="auto" w:fill="FFFFFF"/>
          <w:lang w:val="en-US"/>
        </w:rPr>
        <w:t>ng</w:t>
      </w:r>
      <w:r w:rsidRPr="00B25659">
        <w:rPr>
          <w:rFonts w:ascii="Times New Roman" w:hAnsi="Times New Roman" w:cs="Times New Roman"/>
          <w:b/>
          <w:sz w:val="28"/>
          <w:szCs w:val="28"/>
          <w:shd w:val="clear" w:color="auto" w:fill="FFFFFF"/>
          <w:lang w:val="en-US"/>
        </w:rPr>
        <w:t xml:space="preserve"> a </w:t>
      </w:r>
      <w:r w:rsidR="002E59F5" w:rsidRPr="00B25659">
        <w:rPr>
          <w:rFonts w:ascii="Times New Roman" w:hAnsi="Times New Roman" w:cs="Times New Roman"/>
          <w:b/>
          <w:sz w:val="28"/>
          <w:szCs w:val="28"/>
          <w:shd w:val="clear" w:color="auto" w:fill="FFFFFF"/>
          <w:lang w:val="en-US"/>
        </w:rPr>
        <w:t xml:space="preserve">Prototype </w:t>
      </w:r>
      <w:r w:rsidRPr="00B25659">
        <w:rPr>
          <w:rFonts w:ascii="Times New Roman" w:hAnsi="Times New Roman" w:cs="Times New Roman"/>
          <w:b/>
          <w:sz w:val="28"/>
          <w:szCs w:val="28"/>
          <w:shd w:val="clear" w:color="auto" w:fill="FFFFFF"/>
          <w:lang w:val="en-US"/>
        </w:rPr>
        <w:t xml:space="preserve">of the </w:t>
      </w:r>
      <w:r w:rsidR="002E59F5" w:rsidRPr="00B25659">
        <w:rPr>
          <w:rFonts w:ascii="Times New Roman" w:hAnsi="Times New Roman" w:cs="Times New Roman"/>
          <w:b/>
          <w:sz w:val="28"/>
          <w:szCs w:val="28"/>
          <w:shd w:val="clear" w:color="auto" w:fill="FFFFFF"/>
          <w:lang w:val="en-US"/>
        </w:rPr>
        <w:t>Information</w:t>
      </w:r>
      <w:r w:rsidRPr="00B25659">
        <w:rPr>
          <w:rFonts w:ascii="Times New Roman" w:hAnsi="Times New Roman" w:cs="Times New Roman"/>
          <w:b/>
          <w:sz w:val="28"/>
          <w:szCs w:val="28"/>
          <w:shd w:val="clear" w:color="auto" w:fill="FFFFFF"/>
          <w:lang w:val="en-US"/>
        </w:rPr>
        <w:t>-</w:t>
      </w:r>
      <w:r w:rsidR="002E59F5" w:rsidRPr="00B25659">
        <w:rPr>
          <w:rFonts w:ascii="Times New Roman" w:hAnsi="Times New Roman" w:cs="Times New Roman"/>
          <w:b/>
          <w:sz w:val="28"/>
          <w:szCs w:val="28"/>
          <w:shd w:val="clear" w:color="auto" w:fill="FFFFFF"/>
          <w:lang w:val="en-US"/>
        </w:rPr>
        <w:t xml:space="preserve">Analytical System </w:t>
      </w:r>
      <w:r w:rsidRPr="00B25659">
        <w:rPr>
          <w:rFonts w:ascii="Times New Roman" w:hAnsi="Times New Roman" w:cs="Times New Roman"/>
          <w:b/>
          <w:sz w:val="28"/>
          <w:szCs w:val="28"/>
          <w:shd w:val="clear" w:color="auto" w:fill="FFFFFF"/>
          <w:lang w:val="en-US"/>
        </w:rPr>
        <w:t xml:space="preserve">of </w:t>
      </w:r>
      <w:r w:rsidR="002E59F5" w:rsidRPr="00B25659">
        <w:rPr>
          <w:rFonts w:ascii="Times New Roman" w:hAnsi="Times New Roman" w:cs="Times New Roman"/>
          <w:b/>
          <w:sz w:val="28"/>
          <w:szCs w:val="28"/>
          <w:shd w:val="clear" w:color="auto" w:fill="FFFFFF"/>
          <w:lang w:val="en-US"/>
        </w:rPr>
        <w:t>Ratin</w:t>
      </w:r>
      <w:r w:rsidR="002E59F5">
        <w:rPr>
          <w:rFonts w:ascii="Times New Roman" w:hAnsi="Times New Roman" w:cs="Times New Roman"/>
          <w:b/>
          <w:sz w:val="28"/>
          <w:szCs w:val="28"/>
          <w:shd w:val="clear" w:color="auto" w:fill="FFFFFF"/>
          <w:lang w:val="en-US"/>
        </w:rPr>
        <w:t xml:space="preserve">g Countries </w:t>
      </w:r>
      <w:r>
        <w:rPr>
          <w:rFonts w:ascii="Times New Roman" w:hAnsi="Times New Roman" w:cs="Times New Roman"/>
          <w:b/>
          <w:sz w:val="28"/>
          <w:szCs w:val="28"/>
          <w:shd w:val="clear" w:color="auto" w:fill="FFFFFF"/>
          <w:lang w:val="en-US"/>
        </w:rPr>
        <w:t xml:space="preserve">in the </w:t>
      </w:r>
      <w:r w:rsidR="002E59F5">
        <w:rPr>
          <w:rFonts w:ascii="Times New Roman" w:hAnsi="Times New Roman" w:cs="Times New Roman"/>
          <w:b/>
          <w:sz w:val="28"/>
          <w:szCs w:val="28"/>
          <w:shd w:val="clear" w:color="auto" w:fill="FFFFFF"/>
          <w:lang w:val="en-US"/>
        </w:rPr>
        <w:t xml:space="preserve">Field </w:t>
      </w:r>
      <w:r>
        <w:rPr>
          <w:rFonts w:ascii="Times New Roman" w:hAnsi="Times New Roman" w:cs="Times New Roman"/>
          <w:b/>
          <w:sz w:val="28"/>
          <w:szCs w:val="28"/>
          <w:shd w:val="clear" w:color="auto" w:fill="FFFFFF"/>
          <w:lang w:val="en-US"/>
        </w:rPr>
        <w:t>of AML/</w:t>
      </w:r>
      <w:r w:rsidRPr="00B25659">
        <w:rPr>
          <w:rFonts w:ascii="Times New Roman" w:hAnsi="Times New Roman" w:cs="Times New Roman"/>
          <w:b/>
          <w:sz w:val="28"/>
          <w:szCs w:val="28"/>
          <w:shd w:val="clear" w:color="auto" w:fill="FFFFFF"/>
          <w:lang w:val="en-US"/>
        </w:rPr>
        <w:t xml:space="preserve">CFT for </w:t>
      </w:r>
      <w:r w:rsidR="002E59F5" w:rsidRPr="00B25659">
        <w:rPr>
          <w:rFonts w:ascii="Times New Roman" w:hAnsi="Times New Roman" w:cs="Times New Roman"/>
          <w:b/>
          <w:sz w:val="28"/>
          <w:szCs w:val="28"/>
          <w:shd w:val="clear" w:color="auto" w:fill="FFFFFF"/>
          <w:lang w:val="en-US"/>
        </w:rPr>
        <w:t xml:space="preserve">Compliance </w:t>
      </w:r>
      <w:r w:rsidRPr="00B25659">
        <w:rPr>
          <w:rFonts w:ascii="Times New Roman" w:hAnsi="Times New Roman" w:cs="Times New Roman"/>
          <w:b/>
          <w:sz w:val="28"/>
          <w:szCs w:val="28"/>
          <w:shd w:val="clear" w:color="auto" w:fill="FFFFFF"/>
          <w:lang w:val="en-US"/>
        </w:rPr>
        <w:t xml:space="preserve">with 40 FATF </w:t>
      </w:r>
      <w:r w:rsidR="002E59F5" w:rsidRPr="00B25659">
        <w:rPr>
          <w:rFonts w:ascii="Times New Roman" w:hAnsi="Times New Roman" w:cs="Times New Roman"/>
          <w:b/>
          <w:sz w:val="28"/>
          <w:szCs w:val="28"/>
          <w:shd w:val="clear" w:color="auto" w:fill="FFFFFF"/>
          <w:lang w:val="en-US"/>
        </w:rPr>
        <w:t>Recommendations</w:t>
      </w:r>
    </w:p>
    <w:p w:rsidR="00BB103B" w:rsidRPr="00C40C13" w:rsidRDefault="00BB103B" w:rsidP="002E59F5">
      <w:pPr>
        <w:pStyle w:val="Affiliation"/>
        <w:spacing w:before="240" w:line="360" w:lineRule="auto"/>
        <w:ind w:left="567"/>
        <w:jc w:val="both"/>
        <w:rPr>
          <w:rFonts w:eastAsia="MS Mincho" w:cs="Times New Roman"/>
          <w:color w:val="auto"/>
          <w:sz w:val="24"/>
          <w:szCs w:val="27"/>
        </w:rPr>
      </w:pPr>
      <w:r w:rsidRPr="00BB103B">
        <w:rPr>
          <w:b/>
          <w:color w:val="auto"/>
          <w:sz w:val="24"/>
          <w:szCs w:val="27"/>
        </w:rPr>
        <w:t xml:space="preserve">Davydenko V. I., Burmistrov M. I, </w:t>
      </w:r>
      <w:r w:rsidRPr="00BB103B">
        <w:rPr>
          <w:rFonts w:eastAsia="MS Mincho" w:cs="Times New Roman"/>
          <w:b/>
          <w:color w:val="auto"/>
          <w:sz w:val="24"/>
          <w:szCs w:val="27"/>
        </w:rPr>
        <w:t>Kulakova M</w:t>
      </w:r>
      <w:r w:rsidRPr="00C40C13">
        <w:rPr>
          <w:rFonts w:eastAsia="MS Mincho" w:cs="Times New Roman"/>
          <w:b/>
          <w:color w:val="auto"/>
          <w:sz w:val="24"/>
          <w:szCs w:val="27"/>
        </w:rPr>
        <w:t>.V</w:t>
      </w:r>
      <w:r w:rsidR="00C40C13" w:rsidRPr="00C40C13">
        <w:rPr>
          <w:rFonts w:eastAsia="MS Mincho" w:cs="Times New Roman"/>
          <w:b/>
          <w:color w:val="auto"/>
          <w:sz w:val="24"/>
          <w:szCs w:val="27"/>
        </w:rPr>
        <w:t>.</w:t>
      </w:r>
    </w:p>
    <w:p w:rsidR="00BB103B" w:rsidRPr="00C40C13" w:rsidRDefault="00BB103B" w:rsidP="002E59F5">
      <w:pPr>
        <w:pStyle w:val="Affiliation"/>
        <w:spacing w:before="120"/>
        <w:ind w:left="567"/>
        <w:jc w:val="both"/>
        <w:rPr>
          <w:rFonts w:cs="Times New Roman"/>
          <w:i/>
          <w:sz w:val="24"/>
          <w:szCs w:val="24"/>
        </w:rPr>
      </w:pPr>
      <w:r w:rsidRPr="009A5CB2">
        <w:rPr>
          <w:rFonts w:cs="Times New Roman"/>
          <w:i/>
          <w:sz w:val="24"/>
          <w:szCs w:val="24"/>
        </w:rPr>
        <w:t xml:space="preserve">National Research Nuclear University MEPhI (Moscow Engineering Physics Institute), </w:t>
      </w:r>
      <w:r w:rsidRPr="009A5CB2">
        <w:rPr>
          <w:rFonts w:cs="Times New Roman"/>
          <w:i/>
          <w:sz w:val="24"/>
          <w:szCs w:val="24"/>
        </w:rPr>
        <w:br/>
        <w:t>Kashirskoe shosse 31, Moscow, 115409, Russia</w:t>
      </w:r>
    </w:p>
    <w:p w:rsidR="00BB103B" w:rsidRPr="00C40C13" w:rsidRDefault="00BB103B" w:rsidP="002E59F5">
      <w:pPr>
        <w:pStyle w:val="Affiliation"/>
        <w:spacing w:before="120" w:line="360" w:lineRule="auto"/>
        <w:ind w:left="567"/>
        <w:jc w:val="both"/>
        <w:rPr>
          <w:rFonts w:eastAsia="MS Mincho" w:cs="Times New Roman"/>
          <w:color w:val="auto"/>
          <w:sz w:val="24"/>
          <w:szCs w:val="24"/>
        </w:rPr>
      </w:pPr>
      <w:r w:rsidRPr="00C40C13">
        <w:rPr>
          <w:rFonts w:cs="Times New Roman"/>
          <w:color w:val="auto"/>
          <w:sz w:val="24"/>
          <w:szCs w:val="24"/>
        </w:rPr>
        <w:t xml:space="preserve">Davydenko V. I.: ORCiD </w:t>
      </w:r>
      <w:r w:rsidRPr="00C40C13">
        <w:rPr>
          <w:rFonts w:cs="Times New Roman"/>
          <w:color w:val="auto"/>
          <w:sz w:val="24"/>
          <w:szCs w:val="24"/>
          <w:shd w:val="clear" w:color="auto" w:fill="FFFFFF"/>
        </w:rPr>
        <w:t>0000-0003-1396-8363;</w:t>
      </w:r>
      <w:r w:rsidRPr="00C40C13">
        <w:rPr>
          <w:rFonts w:cs="Times New Roman"/>
          <w:color w:val="auto"/>
          <w:sz w:val="24"/>
          <w:szCs w:val="24"/>
        </w:rPr>
        <w:t xml:space="preserve"> VIDavydenko@mephi.ru</w:t>
      </w:r>
    </w:p>
    <w:p w:rsidR="00BB103B" w:rsidRPr="00C40C13" w:rsidRDefault="00BB103B" w:rsidP="00BB103B">
      <w:pPr>
        <w:pStyle w:val="Affiliation"/>
        <w:spacing w:line="360" w:lineRule="auto"/>
        <w:ind w:left="567"/>
        <w:jc w:val="both"/>
        <w:rPr>
          <w:rFonts w:cs="Times New Roman"/>
          <w:color w:val="auto"/>
          <w:sz w:val="24"/>
          <w:szCs w:val="24"/>
        </w:rPr>
      </w:pPr>
      <w:r w:rsidRPr="00C40C13">
        <w:rPr>
          <w:rFonts w:cs="Times New Roman"/>
          <w:color w:val="auto"/>
          <w:sz w:val="24"/>
          <w:szCs w:val="24"/>
        </w:rPr>
        <w:t xml:space="preserve">Burmistrov M. I.: ORCiD </w:t>
      </w:r>
      <w:r w:rsidR="00C40C13" w:rsidRPr="00C40C13">
        <w:rPr>
          <w:rFonts w:cs="Times New Roman"/>
          <w:color w:val="auto"/>
          <w:sz w:val="24"/>
          <w:szCs w:val="24"/>
          <w:shd w:val="clear" w:color="auto" w:fill="FFFFFF"/>
        </w:rPr>
        <w:t>0000-0001-9209-4187</w:t>
      </w:r>
      <w:r w:rsidR="00C40C13" w:rsidRPr="00C40C13">
        <w:rPr>
          <w:rFonts w:cs="Times New Roman"/>
          <w:color w:val="auto"/>
          <w:sz w:val="24"/>
          <w:szCs w:val="24"/>
        </w:rPr>
        <w:t xml:space="preserve">; </w:t>
      </w:r>
      <w:r w:rsidRPr="00C40C13">
        <w:rPr>
          <w:rFonts w:cs="Times New Roman"/>
          <w:color w:val="auto"/>
          <w:sz w:val="24"/>
          <w:szCs w:val="24"/>
        </w:rPr>
        <w:t>bane55577@gmail.com</w:t>
      </w:r>
    </w:p>
    <w:p w:rsidR="00BB103B" w:rsidRPr="00C40C13" w:rsidRDefault="00BB103B" w:rsidP="00BB103B">
      <w:pPr>
        <w:pStyle w:val="Affiliation"/>
        <w:spacing w:line="360" w:lineRule="auto"/>
        <w:ind w:left="567"/>
        <w:jc w:val="both"/>
        <w:rPr>
          <w:rFonts w:cs="Times New Roman"/>
          <w:color w:val="auto"/>
          <w:sz w:val="24"/>
          <w:szCs w:val="24"/>
        </w:rPr>
      </w:pPr>
      <w:r w:rsidRPr="00C40C13">
        <w:rPr>
          <w:rFonts w:eastAsia="MS Mincho" w:cs="Times New Roman"/>
          <w:color w:val="auto"/>
          <w:sz w:val="24"/>
          <w:szCs w:val="24"/>
        </w:rPr>
        <w:t xml:space="preserve">Kulakova M.V.: </w:t>
      </w:r>
      <w:r w:rsidRPr="00C40C13">
        <w:rPr>
          <w:rFonts w:cs="Times New Roman"/>
          <w:color w:val="auto"/>
          <w:sz w:val="24"/>
          <w:szCs w:val="24"/>
        </w:rPr>
        <w:t xml:space="preserve">ORCiD </w:t>
      </w:r>
      <w:r w:rsidR="00C40C13" w:rsidRPr="00C40C13">
        <w:rPr>
          <w:rFonts w:cs="Times New Roman"/>
          <w:color w:val="auto"/>
          <w:sz w:val="24"/>
          <w:szCs w:val="24"/>
          <w:shd w:val="clear" w:color="auto" w:fill="FFFFFF"/>
        </w:rPr>
        <w:t>0000-0001-8140-0177</w:t>
      </w:r>
      <w:r w:rsidR="00C40C13" w:rsidRPr="00C40C13">
        <w:rPr>
          <w:rFonts w:cs="Times New Roman"/>
          <w:color w:val="auto"/>
          <w:sz w:val="24"/>
          <w:szCs w:val="24"/>
        </w:rPr>
        <w:t xml:space="preserve">; </w:t>
      </w:r>
      <w:r w:rsidRPr="00C40C13">
        <w:rPr>
          <w:rFonts w:cs="Times New Roman"/>
          <w:color w:val="auto"/>
          <w:sz w:val="24"/>
          <w:szCs w:val="24"/>
        </w:rPr>
        <w:t>Veber.maria-ksky@ya.ru</w:t>
      </w:r>
    </w:p>
    <w:p w:rsidR="00AA1CD3" w:rsidRPr="000E4965" w:rsidRDefault="000E4965" w:rsidP="002E59F5">
      <w:pPr>
        <w:pStyle w:val="a7"/>
        <w:spacing w:before="120" w:beforeAutospacing="0" w:after="240" w:afterAutospacing="0"/>
        <w:ind w:left="567"/>
        <w:jc w:val="both"/>
        <w:rPr>
          <w:shd w:val="clear" w:color="auto" w:fill="FFFFFF"/>
          <w:lang w:val="en-US"/>
        </w:rPr>
      </w:pPr>
      <w:r w:rsidRPr="000E4965">
        <w:rPr>
          <w:b/>
          <w:shd w:val="clear" w:color="auto" w:fill="FFFFFF"/>
          <w:lang w:val="en-US"/>
        </w:rPr>
        <w:t>Abstract:</w:t>
      </w:r>
      <w:r w:rsidRPr="000E4965">
        <w:rPr>
          <w:shd w:val="clear" w:color="auto" w:fill="FFFFFF"/>
          <w:lang w:val="en-US"/>
        </w:rPr>
        <w:t xml:space="preserve"> </w:t>
      </w:r>
      <w:r w:rsidR="003E1979">
        <w:rPr>
          <w:shd w:val="clear" w:color="auto" w:fill="FFFFFF"/>
          <w:lang w:val="en-US"/>
        </w:rPr>
        <w:t>T</w:t>
      </w:r>
      <w:r w:rsidR="00AA1CD3" w:rsidRPr="000E4965">
        <w:rPr>
          <w:shd w:val="clear" w:color="auto" w:fill="FFFFFF"/>
          <w:lang w:val="en-US"/>
        </w:rPr>
        <w:t>he article</w:t>
      </w:r>
      <w:r w:rsidR="003E1979">
        <w:rPr>
          <w:shd w:val="clear" w:color="auto" w:fill="FFFFFF"/>
          <w:lang w:val="en-US"/>
        </w:rPr>
        <w:t xml:space="preserve"> provides </w:t>
      </w:r>
      <w:r w:rsidR="000831F4">
        <w:rPr>
          <w:shd w:val="clear" w:color="auto" w:fill="FFFFFF"/>
          <w:lang w:val="en-US"/>
        </w:rPr>
        <w:t>an example of</w:t>
      </w:r>
      <w:r w:rsidR="000831F4" w:rsidRPr="000E4965">
        <w:rPr>
          <w:shd w:val="clear" w:color="auto" w:fill="FFFFFF"/>
          <w:lang w:val="en-US"/>
        </w:rPr>
        <w:t xml:space="preserve"> implement</w:t>
      </w:r>
      <w:r w:rsidR="000831F4">
        <w:rPr>
          <w:shd w:val="clear" w:color="auto" w:fill="FFFFFF"/>
          <w:lang w:val="en-US"/>
        </w:rPr>
        <w:t>ing</w:t>
      </w:r>
      <w:r w:rsidR="000831F4" w:rsidRPr="000E4965">
        <w:rPr>
          <w:shd w:val="clear" w:color="auto" w:fill="FFFFFF"/>
          <w:lang w:val="en-US"/>
        </w:rPr>
        <w:t xml:space="preserve"> the cluster analysis algorithm for an information and analytical system </w:t>
      </w:r>
      <w:r w:rsidR="000831F4">
        <w:rPr>
          <w:shd w:val="clear" w:color="auto" w:fill="FFFFFF"/>
          <w:lang w:val="en-US"/>
        </w:rPr>
        <w:t xml:space="preserve">in order </w:t>
      </w:r>
      <w:r w:rsidR="000831F4" w:rsidRPr="000E4965">
        <w:rPr>
          <w:shd w:val="clear" w:color="auto" w:fill="FFFFFF"/>
          <w:lang w:val="en-US"/>
        </w:rPr>
        <w:t>to identify various patterns in the participating countries</w:t>
      </w:r>
      <w:r w:rsidR="00AA1CD3" w:rsidRPr="000E4965">
        <w:rPr>
          <w:shd w:val="clear" w:color="auto" w:fill="FFFFFF"/>
          <w:lang w:val="en-US"/>
        </w:rPr>
        <w:t>, bas</w:t>
      </w:r>
      <w:r w:rsidR="000831F4">
        <w:rPr>
          <w:shd w:val="clear" w:color="auto" w:fill="FFFFFF"/>
          <w:lang w:val="en-US"/>
        </w:rPr>
        <w:t>ing</w:t>
      </w:r>
      <w:r w:rsidR="00AA1CD3" w:rsidRPr="000E4965">
        <w:rPr>
          <w:shd w:val="clear" w:color="auto" w:fill="FFFFFF"/>
          <w:lang w:val="en-US"/>
        </w:rPr>
        <w:t xml:space="preserve"> on the process of assessing the effectiveness and technical compliance of the FATF member countries and </w:t>
      </w:r>
      <w:r w:rsidR="000831F4" w:rsidRPr="000E4965">
        <w:rPr>
          <w:shd w:val="clear" w:color="auto" w:fill="FFFFFF"/>
          <w:lang w:val="en-US"/>
        </w:rPr>
        <w:t>FATF</w:t>
      </w:r>
      <w:r w:rsidR="000831F4">
        <w:rPr>
          <w:shd w:val="clear" w:color="auto" w:fill="FFFFFF"/>
          <w:lang w:val="en-US"/>
        </w:rPr>
        <w:t>-style</w:t>
      </w:r>
      <w:r w:rsidR="000831F4" w:rsidRPr="000E4965">
        <w:rPr>
          <w:shd w:val="clear" w:color="auto" w:fill="FFFFFF"/>
          <w:lang w:val="en-US"/>
        </w:rPr>
        <w:t xml:space="preserve"> </w:t>
      </w:r>
      <w:r w:rsidR="00AA1CD3" w:rsidRPr="000E4965">
        <w:rPr>
          <w:shd w:val="clear" w:color="auto" w:fill="FFFFFF"/>
          <w:lang w:val="en-US"/>
        </w:rPr>
        <w:t>regional groups.</w:t>
      </w:r>
    </w:p>
    <w:p w:rsidR="003A290D" w:rsidRPr="000E4965" w:rsidRDefault="000E4965" w:rsidP="00DA5564">
      <w:pPr>
        <w:pStyle w:val="a7"/>
        <w:spacing w:before="0" w:beforeAutospacing="0" w:after="240" w:afterAutospacing="0"/>
        <w:ind w:left="567"/>
        <w:jc w:val="both"/>
        <w:rPr>
          <w:shd w:val="clear" w:color="auto" w:fill="FFFFFF"/>
          <w:lang w:val="en-US"/>
        </w:rPr>
      </w:pPr>
      <w:r w:rsidRPr="000E4965">
        <w:rPr>
          <w:b/>
          <w:shd w:val="clear" w:color="auto" w:fill="FFFFFF"/>
          <w:lang w:val="en-US"/>
        </w:rPr>
        <w:t>Keywords:</w:t>
      </w:r>
      <w:r w:rsidRPr="000E4965">
        <w:rPr>
          <w:shd w:val="clear" w:color="auto" w:fill="FFFFFF"/>
          <w:lang w:val="en-US"/>
        </w:rPr>
        <w:t xml:space="preserve"> </w:t>
      </w:r>
      <w:r w:rsidR="00E138CD" w:rsidRPr="000E4965">
        <w:rPr>
          <w:shd w:val="clear" w:color="auto" w:fill="FFFFFF"/>
          <w:lang w:val="en-US"/>
        </w:rPr>
        <w:t xml:space="preserve">FATF, information and analytical system, FATF recommendations, efficiency evaluation, technical conformity assessment, </w:t>
      </w:r>
      <w:r w:rsidR="00E138CD" w:rsidRPr="000E4965">
        <w:rPr>
          <w:bCs/>
          <w:iCs/>
          <w:shd w:val="clear" w:color="auto" w:fill="FFFFFF"/>
          <w:lang w:val="en-US"/>
        </w:rPr>
        <w:t>cluster analysis, data mining.</w:t>
      </w:r>
    </w:p>
    <w:p w:rsidR="00E138CD" w:rsidRPr="000E4965" w:rsidRDefault="000E4965" w:rsidP="00DA5564">
      <w:pPr>
        <w:pStyle w:val="a7"/>
        <w:spacing w:before="360" w:beforeAutospacing="0" w:after="240" w:afterAutospacing="0"/>
        <w:rPr>
          <w:b/>
          <w:i/>
          <w:sz w:val="32"/>
          <w:lang w:val="en-US"/>
        </w:rPr>
      </w:pPr>
      <w:r w:rsidRPr="000E4965">
        <w:rPr>
          <w:b/>
          <w:color w:val="000000"/>
          <w:szCs w:val="20"/>
          <w:shd w:val="clear" w:color="auto" w:fill="FFFFFF"/>
          <w:lang w:val="en-US"/>
        </w:rPr>
        <w:t>Introduction</w:t>
      </w:r>
    </w:p>
    <w:p w:rsidR="00E138CD" w:rsidRPr="00AA1CD3" w:rsidRDefault="00E138CD" w:rsidP="00765395">
      <w:pPr>
        <w:spacing w:line="360" w:lineRule="auto"/>
        <w:jc w:val="both"/>
        <w:rPr>
          <w:rFonts w:ascii="Times New Roman" w:hAnsi="Times New Roman" w:cs="Times New Roman"/>
          <w:sz w:val="24"/>
          <w:szCs w:val="24"/>
          <w:lang w:val="en-US"/>
        </w:rPr>
      </w:pPr>
      <w:r w:rsidRPr="00E138CD">
        <w:rPr>
          <w:rFonts w:ascii="Times New Roman" w:hAnsi="Times New Roman" w:cs="Times New Roman"/>
          <w:sz w:val="24"/>
          <w:szCs w:val="24"/>
          <w:lang w:val="en-US"/>
        </w:rPr>
        <w:t xml:space="preserve">At present, the problem of money laundering and </w:t>
      </w:r>
      <w:r w:rsidR="00FC1CCC">
        <w:rPr>
          <w:rFonts w:ascii="Times New Roman" w:hAnsi="Times New Roman" w:cs="Times New Roman"/>
          <w:sz w:val="24"/>
          <w:szCs w:val="24"/>
          <w:lang w:val="en-US"/>
        </w:rPr>
        <w:t xml:space="preserve">the </w:t>
      </w:r>
      <w:r w:rsidRPr="00E138CD">
        <w:rPr>
          <w:rFonts w:ascii="Times New Roman" w:hAnsi="Times New Roman" w:cs="Times New Roman"/>
          <w:sz w:val="24"/>
          <w:szCs w:val="24"/>
          <w:lang w:val="en-US"/>
        </w:rPr>
        <w:t>financing</w:t>
      </w:r>
      <w:r w:rsidR="00FC1CCC">
        <w:rPr>
          <w:rFonts w:ascii="Times New Roman" w:hAnsi="Times New Roman" w:cs="Times New Roman"/>
          <w:sz w:val="24"/>
          <w:szCs w:val="24"/>
          <w:lang w:val="en-US"/>
        </w:rPr>
        <w:t xml:space="preserve"> of</w:t>
      </w:r>
      <w:r w:rsidRPr="00E138CD">
        <w:rPr>
          <w:rFonts w:ascii="Times New Roman" w:hAnsi="Times New Roman" w:cs="Times New Roman"/>
          <w:sz w:val="24"/>
          <w:szCs w:val="24"/>
          <w:lang w:val="en-US"/>
        </w:rPr>
        <w:t xml:space="preserve"> terrorism is acquiring an increasingly global scale: under the impact of international security, the integrity and stability of the world financial institutions, public welfare </w:t>
      </w:r>
      <w:r w:rsidR="006531DC">
        <w:rPr>
          <w:rFonts w:ascii="Times New Roman" w:hAnsi="Times New Roman" w:cs="Times New Roman"/>
          <w:sz w:val="24"/>
          <w:szCs w:val="24"/>
          <w:lang w:val="en-US"/>
        </w:rPr>
        <w:t xml:space="preserve">is getting </w:t>
      </w:r>
      <w:r w:rsidRPr="00E138CD">
        <w:rPr>
          <w:rFonts w:ascii="Times New Roman" w:hAnsi="Times New Roman" w:cs="Times New Roman"/>
          <w:sz w:val="24"/>
          <w:szCs w:val="24"/>
          <w:lang w:val="en-US"/>
        </w:rPr>
        <w:t xml:space="preserve">worse. Many countries cannot sufficiently prevent, detect and suppress money laundering and terrorist financing. The situation </w:t>
      </w:r>
      <w:r w:rsidR="00765395">
        <w:rPr>
          <w:rFonts w:ascii="Times New Roman" w:hAnsi="Times New Roman" w:cs="Times New Roman"/>
          <w:sz w:val="24"/>
          <w:szCs w:val="24"/>
          <w:lang w:val="en-US"/>
        </w:rPr>
        <w:t xml:space="preserve">is </w:t>
      </w:r>
      <w:r w:rsidRPr="00E138CD">
        <w:rPr>
          <w:rFonts w:ascii="Times New Roman" w:hAnsi="Times New Roman" w:cs="Times New Roman"/>
          <w:sz w:val="24"/>
          <w:szCs w:val="24"/>
          <w:lang w:val="en-US"/>
        </w:rPr>
        <w:t>complicate</w:t>
      </w:r>
      <w:r w:rsidR="00765395">
        <w:rPr>
          <w:rFonts w:ascii="Times New Roman" w:hAnsi="Times New Roman" w:cs="Times New Roman"/>
          <w:sz w:val="24"/>
          <w:szCs w:val="24"/>
          <w:lang w:val="en-US"/>
        </w:rPr>
        <w:t>d by</w:t>
      </w:r>
      <w:r w:rsidRPr="00E138CD">
        <w:rPr>
          <w:rFonts w:ascii="Times New Roman" w:hAnsi="Times New Roman" w:cs="Times New Roman"/>
          <w:sz w:val="24"/>
          <w:szCs w:val="24"/>
          <w:lang w:val="en-US"/>
        </w:rPr>
        <w:t xml:space="preserve"> the involvement of criminals </w:t>
      </w:r>
      <w:r w:rsidR="00765395">
        <w:rPr>
          <w:rFonts w:ascii="Times New Roman" w:hAnsi="Times New Roman" w:cs="Times New Roman"/>
          <w:sz w:val="24"/>
          <w:szCs w:val="24"/>
          <w:lang w:val="en-US"/>
        </w:rPr>
        <w:t>in</w:t>
      </w:r>
      <w:r w:rsidRPr="00E138CD">
        <w:rPr>
          <w:rFonts w:ascii="Times New Roman" w:hAnsi="Times New Roman" w:cs="Times New Roman"/>
          <w:sz w:val="24"/>
          <w:szCs w:val="24"/>
          <w:lang w:val="en-US"/>
        </w:rPr>
        <w:t xml:space="preserve"> the world financial systems, the participation of financial organizations of different types, the movement of capital between countries and the continuous introduction of modern technologies.</w:t>
      </w:r>
    </w:p>
    <w:p w:rsidR="00493BB8" w:rsidRPr="00AA1CD3" w:rsidRDefault="00493BB8" w:rsidP="00FC1CCC">
      <w:pPr>
        <w:spacing w:after="0" w:line="360" w:lineRule="auto"/>
        <w:jc w:val="both"/>
        <w:rPr>
          <w:rFonts w:ascii="Times New Roman" w:hAnsi="Times New Roman" w:cs="Times New Roman"/>
          <w:sz w:val="24"/>
          <w:szCs w:val="24"/>
          <w:lang w:val="en-US"/>
        </w:rPr>
      </w:pPr>
      <w:r w:rsidRPr="00493BB8">
        <w:rPr>
          <w:rFonts w:ascii="Times New Roman" w:hAnsi="Times New Roman" w:cs="Times New Roman"/>
          <w:sz w:val="24"/>
          <w:szCs w:val="24"/>
          <w:lang w:val="en-US"/>
        </w:rPr>
        <w:t>Therefore, it is necessary to organize an international systematic counteraction to money laundering and the financing of terrorism, which will cover all administrative, legal and financial institutions. This task can be solved by information and analytical systems, the essence of which is the collection of information and the discovery of absolutely new data on the investigated object in the form of generalized information from collected materials that are characterized by such features as: non-systematic</w:t>
      </w:r>
      <w:r w:rsidR="00FC1CCC">
        <w:rPr>
          <w:rFonts w:ascii="Times New Roman" w:hAnsi="Times New Roman" w:cs="Times New Roman"/>
          <w:sz w:val="24"/>
          <w:szCs w:val="24"/>
          <w:lang w:val="en-US"/>
        </w:rPr>
        <w:t>ity</w:t>
      </w:r>
      <w:r w:rsidRPr="00493BB8">
        <w:rPr>
          <w:rFonts w:ascii="Times New Roman" w:hAnsi="Times New Roman" w:cs="Times New Roman"/>
          <w:sz w:val="24"/>
          <w:szCs w:val="24"/>
          <w:lang w:val="en-US"/>
        </w:rPr>
        <w:t>, irrelevan</w:t>
      </w:r>
      <w:r w:rsidR="00FC1CCC">
        <w:rPr>
          <w:rFonts w:ascii="Times New Roman" w:hAnsi="Times New Roman" w:cs="Times New Roman"/>
          <w:sz w:val="24"/>
          <w:szCs w:val="24"/>
          <w:lang w:val="en-US"/>
        </w:rPr>
        <w:t>ce</w:t>
      </w:r>
      <w:r w:rsidRPr="00493BB8">
        <w:rPr>
          <w:rFonts w:ascii="Times New Roman" w:hAnsi="Times New Roman" w:cs="Times New Roman"/>
          <w:sz w:val="24"/>
          <w:szCs w:val="24"/>
          <w:lang w:val="en-US"/>
        </w:rPr>
        <w:t>, incoheren</w:t>
      </w:r>
      <w:r w:rsidR="00FC1CCC">
        <w:rPr>
          <w:rFonts w:ascii="Times New Roman" w:hAnsi="Times New Roman" w:cs="Times New Roman"/>
          <w:sz w:val="24"/>
          <w:szCs w:val="24"/>
          <w:lang w:val="en-US"/>
        </w:rPr>
        <w:t>ce</w:t>
      </w:r>
      <w:r w:rsidRPr="00493BB8">
        <w:rPr>
          <w:rFonts w:ascii="Times New Roman" w:hAnsi="Times New Roman" w:cs="Times New Roman"/>
          <w:sz w:val="24"/>
          <w:szCs w:val="24"/>
          <w:lang w:val="en-US"/>
        </w:rPr>
        <w:t>, etc.</w:t>
      </w:r>
    </w:p>
    <w:p w:rsidR="00513140" w:rsidRPr="00513140" w:rsidRDefault="00513140" w:rsidP="00FC1CCC">
      <w:pPr>
        <w:spacing w:after="0" w:line="360" w:lineRule="auto"/>
        <w:jc w:val="both"/>
        <w:rPr>
          <w:rFonts w:ascii="Times New Roman" w:hAnsi="Times New Roman" w:cs="Times New Roman"/>
          <w:sz w:val="24"/>
          <w:szCs w:val="24"/>
          <w:lang w:val="en-US"/>
        </w:rPr>
      </w:pPr>
      <w:r w:rsidRPr="00513140">
        <w:rPr>
          <w:rFonts w:ascii="Times New Roman" w:hAnsi="Times New Roman" w:cs="Times New Roman"/>
          <w:sz w:val="24"/>
          <w:szCs w:val="24"/>
          <w:lang w:val="en-US"/>
        </w:rPr>
        <w:t>The development of standards for monitor</w:t>
      </w:r>
      <w:r>
        <w:rPr>
          <w:rFonts w:ascii="Times New Roman" w:hAnsi="Times New Roman" w:cs="Times New Roman"/>
          <w:sz w:val="24"/>
          <w:szCs w:val="24"/>
          <w:lang w:val="en-US"/>
        </w:rPr>
        <w:t>ing the implementation of AML/</w:t>
      </w:r>
      <w:r w:rsidRPr="00513140">
        <w:rPr>
          <w:rFonts w:ascii="Times New Roman" w:hAnsi="Times New Roman" w:cs="Times New Roman"/>
          <w:sz w:val="24"/>
          <w:szCs w:val="24"/>
          <w:lang w:val="en-US"/>
        </w:rPr>
        <w:t xml:space="preserve">CFT measures is carried out by the FATF group through 40 Recommendations. </w:t>
      </w:r>
      <w:r w:rsidR="00FC1CCC" w:rsidRPr="00513140">
        <w:rPr>
          <w:rFonts w:ascii="Times New Roman" w:hAnsi="Times New Roman" w:cs="Times New Roman"/>
          <w:sz w:val="24"/>
          <w:szCs w:val="24"/>
          <w:lang w:val="en-US"/>
        </w:rPr>
        <w:t>Evaluation of the success of the countries in the organization and the eff</w:t>
      </w:r>
      <w:r w:rsidR="00FC1CCC">
        <w:rPr>
          <w:rFonts w:ascii="Times New Roman" w:hAnsi="Times New Roman" w:cs="Times New Roman"/>
          <w:sz w:val="24"/>
          <w:szCs w:val="24"/>
          <w:lang w:val="en-US"/>
        </w:rPr>
        <w:t>ective application of the AML/</w:t>
      </w:r>
      <w:r w:rsidR="00FC1CCC" w:rsidRPr="00513140">
        <w:rPr>
          <w:rFonts w:ascii="Times New Roman" w:hAnsi="Times New Roman" w:cs="Times New Roman"/>
          <w:sz w:val="24"/>
          <w:szCs w:val="24"/>
          <w:lang w:val="en-US"/>
        </w:rPr>
        <w:t>CFT system</w:t>
      </w:r>
      <w:r w:rsidR="00FC1CCC">
        <w:rPr>
          <w:rFonts w:ascii="Times New Roman" w:hAnsi="Times New Roman" w:cs="Times New Roman"/>
          <w:sz w:val="24"/>
          <w:szCs w:val="24"/>
          <w:lang w:val="en-US"/>
        </w:rPr>
        <w:t xml:space="preserve"> is carried out by t</w:t>
      </w:r>
      <w:r w:rsidRPr="00513140">
        <w:rPr>
          <w:rFonts w:ascii="Times New Roman" w:hAnsi="Times New Roman" w:cs="Times New Roman"/>
          <w:sz w:val="24"/>
          <w:szCs w:val="24"/>
          <w:lang w:val="en-US"/>
        </w:rPr>
        <w:t xml:space="preserve">he </w:t>
      </w:r>
      <w:r w:rsidR="00FC1CCC" w:rsidRPr="00513140">
        <w:rPr>
          <w:rFonts w:ascii="Times New Roman" w:hAnsi="Times New Roman" w:cs="Times New Roman"/>
          <w:sz w:val="24"/>
          <w:szCs w:val="24"/>
          <w:lang w:val="en-US"/>
        </w:rPr>
        <w:t xml:space="preserve">FATF </w:t>
      </w:r>
      <w:r w:rsidR="00FC1CCC">
        <w:rPr>
          <w:rFonts w:ascii="Times New Roman" w:hAnsi="Times New Roman" w:cs="Times New Roman"/>
          <w:sz w:val="24"/>
          <w:szCs w:val="24"/>
          <w:lang w:val="en-US"/>
        </w:rPr>
        <w:t>group</w:t>
      </w:r>
      <w:r w:rsidRPr="00513140">
        <w:rPr>
          <w:rFonts w:ascii="Times New Roman" w:hAnsi="Times New Roman" w:cs="Times New Roman"/>
          <w:sz w:val="24"/>
          <w:szCs w:val="24"/>
          <w:lang w:val="en-US"/>
        </w:rPr>
        <w:t xml:space="preserve">, as well as the </w:t>
      </w:r>
      <w:r w:rsidR="00FC1CCC" w:rsidRPr="00513140">
        <w:rPr>
          <w:rFonts w:ascii="Times New Roman" w:hAnsi="Times New Roman" w:cs="Times New Roman"/>
          <w:sz w:val="24"/>
          <w:szCs w:val="24"/>
          <w:lang w:val="en-US"/>
        </w:rPr>
        <w:t>FATF</w:t>
      </w:r>
      <w:r w:rsidR="00FC1CCC">
        <w:rPr>
          <w:rFonts w:ascii="Times New Roman" w:hAnsi="Times New Roman" w:cs="Times New Roman"/>
          <w:sz w:val="24"/>
          <w:szCs w:val="24"/>
          <w:lang w:val="en-US"/>
        </w:rPr>
        <w:t>-style</w:t>
      </w:r>
      <w:r w:rsidR="00FC1CCC" w:rsidRPr="00513140">
        <w:rPr>
          <w:rFonts w:ascii="Times New Roman" w:hAnsi="Times New Roman" w:cs="Times New Roman"/>
          <w:sz w:val="24"/>
          <w:szCs w:val="24"/>
          <w:lang w:val="en-US"/>
        </w:rPr>
        <w:t xml:space="preserve"> </w:t>
      </w:r>
      <w:r w:rsidRPr="00513140">
        <w:rPr>
          <w:rFonts w:ascii="Times New Roman" w:hAnsi="Times New Roman" w:cs="Times New Roman"/>
          <w:sz w:val="24"/>
          <w:szCs w:val="24"/>
          <w:lang w:val="en-US"/>
        </w:rPr>
        <w:t xml:space="preserve">regional groups: ATG, ECAAMLG, GAFISUD, EAG, MENAFATF, MANIVEL </w:t>
      </w:r>
      <w:r w:rsidR="00880BDE">
        <w:rPr>
          <w:rFonts w:ascii="Times New Roman" w:hAnsi="Times New Roman" w:cs="Times New Roman"/>
          <w:sz w:val="24"/>
          <w:szCs w:val="24"/>
          <w:lang w:val="en-US"/>
        </w:rPr>
        <w:t>[1]</w:t>
      </w:r>
      <w:r w:rsidRPr="00513140">
        <w:rPr>
          <w:rFonts w:ascii="Times New Roman" w:hAnsi="Times New Roman" w:cs="Times New Roman"/>
          <w:sz w:val="24"/>
          <w:szCs w:val="24"/>
          <w:lang w:val="en-US"/>
        </w:rPr>
        <w:t xml:space="preserve">. At the same time, it is necessary to conduct a comprehensive analysis to find out the </w:t>
      </w:r>
      <w:r w:rsidRPr="00513140">
        <w:rPr>
          <w:rFonts w:ascii="Times New Roman" w:hAnsi="Times New Roman" w:cs="Times New Roman"/>
          <w:sz w:val="24"/>
          <w:szCs w:val="24"/>
          <w:lang w:val="en-US"/>
        </w:rPr>
        <w:lastRenderedPageBreak/>
        <w:t>problems that countries are experi</w:t>
      </w:r>
      <w:r>
        <w:rPr>
          <w:rFonts w:ascii="Times New Roman" w:hAnsi="Times New Roman" w:cs="Times New Roman"/>
          <w:sz w:val="24"/>
          <w:szCs w:val="24"/>
          <w:lang w:val="en-US"/>
        </w:rPr>
        <w:t>encing when setting up an AML/</w:t>
      </w:r>
      <w:r w:rsidRPr="00513140">
        <w:rPr>
          <w:rFonts w:ascii="Times New Roman" w:hAnsi="Times New Roman" w:cs="Times New Roman"/>
          <w:sz w:val="24"/>
          <w:szCs w:val="24"/>
          <w:lang w:val="en-US"/>
        </w:rPr>
        <w:t>CFT system, to analyze the most successful and most backward countries on the basis of mutual assessment reports</w:t>
      </w:r>
      <w:r w:rsidR="00880BDE">
        <w:rPr>
          <w:rFonts w:ascii="Times New Roman" w:hAnsi="Times New Roman" w:cs="Times New Roman"/>
          <w:sz w:val="24"/>
          <w:szCs w:val="24"/>
          <w:lang w:val="en-US"/>
        </w:rPr>
        <w:t xml:space="preserve"> [2]</w:t>
      </w:r>
      <w:r w:rsidRPr="00513140">
        <w:rPr>
          <w:rFonts w:ascii="Times New Roman" w:hAnsi="Times New Roman" w:cs="Times New Roman"/>
          <w:sz w:val="24"/>
          <w:szCs w:val="24"/>
          <w:lang w:val="en-US"/>
        </w:rPr>
        <w:t>.</w:t>
      </w:r>
    </w:p>
    <w:p w:rsidR="00336876" w:rsidRPr="000E4965" w:rsidRDefault="000E4965" w:rsidP="00DA5564">
      <w:pPr>
        <w:pStyle w:val="a7"/>
        <w:spacing w:before="0" w:beforeAutospacing="0" w:after="0" w:afterAutospacing="0" w:line="360" w:lineRule="auto"/>
        <w:rPr>
          <w:b/>
          <w:sz w:val="32"/>
          <w:lang w:val="en-US"/>
        </w:rPr>
      </w:pPr>
      <w:r w:rsidRPr="000E4965">
        <w:rPr>
          <w:b/>
          <w:color w:val="000000"/>
          <w:szCs w:val="20"/>
          <w:shd w:val="clear" w:color="auto" w:fill="FFFFFF"/>
          <w:lang w:val="en-US"/>
        </w:rPr>
        <w:t>Conceptual approach to the problem</w:t>
      </w:r>
    </w:p>
    <w:p w:rsidR="00336876" w:rsidRPr="00336876" w:rsidRDefault="00336876" w:rsidP="00DA5564">
      <w:pPr>
        <w:spacing w:after="0" w:line="360" w:lineRule="auto"/>
        <w:jc w:val="both"/>
        <w:rPr>
          <w:rFonts w:ascii="Times New Roman" w:hAnsi="Times New Roman" w:cs="Times New Roman"/>
          <w:sz w:val="24"/>
          <w:szCs w:val="24"/>
          <w:lang w:val="en-US"/>
        </w:rPr>
      </w:pPr>
      <w:r w:rsidRPr="00336876">
        <w:rPr>
          <w:rFonts w:ascii="Times New Roman" w:hAnsi="Times New Roman" w:cs="Times New Roman"/>
          <w:sz w:val="24"/>
          <w:szCs w:val="24"/>
          <w:lang w:val="en-US"/>
        </w:rPr>
        <w:t xml:space="preserve">Consider the components of the process of the information system </w:t>
      </w:r>
      <w:r w:rsidR="00FC1CCC">
        <w:rPr>
          <w:rFonts w:ascii="Times New Roman" w:hAnsi="Times New Roman" w:cs="Times New Roman"/>
          <w:sz w:val="24"/>
          <w:szCs w:val="24"/>
          <w:lang w:val="en-US"/>
        </w:rPr>
        <w:t xml:space="preserve">which are </w:t>
      </w:r>
      <w:r w:rsidRPr="00336876">
        <w:rPr>
          <w:rFonts w:ascii="Times New Roman" w:hAnsi="Times New Roman" w:cs="Times New Roman"/>
          <w:sz w:val="24"/>
          <w:szCs w:val="24"/>
          <w:lang w:val="en-US"/>
        </w:rPr>
        <w:t>necessary to solve the task:</w:t>
      </w:r>
    </w:p>
    <w:p w:rsidR="006371D7" w:rsidRPr="006371D7" w:rsidRDefault="00336876" w:rsidP="00DA5564">
      <w:pPr>
        <w:spacing w:after="0" w:line="360" w:lineRule="auto"/>
        <w:jc w:val="both"/>
        <w:rPr>
          <w:rFonts w:ascii="Times New Roman" w:hAnsi="Times New Roman" w:cs="Times New Roman"/>
          <w:sz w:val="24"/>
          <w:szCs w:val="24"/>
          <w:lang w:val="en-US"/>
        </w:rPr>
      </w:pPr>
      <w:r w:rsidRPr="00336876">
        <w:rPr>
          <w:rFonts w:ascii="Times New Roman" w:hAnsi="Times New Roman" w:cs="Times New Roman"/>
          <w:sz w:val="24"/>
          <w:szCs w:val="24"/>
          <w:lang w:val="en-US"/>
        </w:rPr>
        <w:t>1. Analysis of management objectives and formulation of tasks of information and analytical w</w:t>
      </w:r>
      <w:r w:rsidR="006371D7">
        <w:rPr>
          <w:rFonts w:ascii="Times New Roman" w:hAnsi="Times New Roman" w:cs="Times New Roman"/>
          <w:sz w:val="24"/>
          <w:szCs w:val="24"/>
          <w:lang w:val="en-US"/>
        </w:rPr>
        <w:t>ork.</w:t>
      </w:r>
    </w:p>
    <w:p w:rsidR="006371D7" w:rsidRPr="006371D7" w:rsidRDefault="00FC1CCC" w:rsidP="00FC1CC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336876" w:rsidRPr="00336876">
        <w:rPr>
          <w:rFonts w:ascii="Times New Roman" w:hAnsi="Times New Roman" w:cs="Times New Roman"/>
          <w:sz w:val="24"/>
          <w:szCs w:val="24"/>
          <w:lang w:val="en-US"/>
        </w:rPr>
        <w:t xml:space="preserve">he goal of implementing this system is to organize an international systematic </w:t>
      </w:r>
      <w:r>
        <w:rPr>
          <w:rFonts w:ascii="Times New Roman" w:hAnsi="Times New Roman" w:cs="Times New Roman"/>
          <w:sz w:val="24"/>
          <w:szCs w:val="24"/>
          <w:lang w:val="en-US"/>
        </w:rPr>
        <w:t>anti-</w:t>
      </w:r>
      <w:r w:rsidR="00336876" w:rsidRPr="00336876">
        <w:rPr>
          <w:rFonts w:ascii="Times New Roman" w:hAnsi="Times New Roman" w:cs="Times New Roman"/>
          <w:sz w:val="24"/>
          <w:szCs w:val="24"/>
          <w:lang w:val="en-US"/>
        </w:rPr>
        <w:t xml:space="preserve">money laundering and </w:t>
      </w:r>
      <w:r w:rsidRPr="00336876">
        <w:rPr>
          <w:rFonts w:ascii="Times New Roman" w:hAnsi="Times New Roman" w:cs="Times New Roman"/>
          <w:sz w:val="24"/>
          <w:szCs w:val="24"/>
          <w:lang w:val="en-US"/>
        </w:rPr>
        <w:t xml:space="preserve">combating of </w:t>
      </w:r>
      <w:r w:rsidR="00336876" w:rsidRPr="00336876">
        <w:rPr>
          <w:rFonts w:ascii="Times New Roman" w:hAnsi="Times New Roman" w:cs="Times New Roman"/>
          <w:sz w:val="24"/>
          <w:szCs w:val="24"/>
          <w:lang w:val="en-US"/>
        </w:rPr>
        <w:t>terrorist financing, which would cover all administrative, legal and financial institutions.</w:t>
      </w:r>
    </w:p>
    <w:p w:rsidR="006371D7" w:rsidRPr="006371D7" w:rsidRDefault="006371D7" w:rsidP="00DA5564">
      <w:pPr>
        <w:spacing w:after="0" w:line="360" w:lineRule="auto"/>
        <w:jc w:val="both"/>
        <w:rPr>
          <w:rFonts w:ascii="Times New Roman" w:hAnsi="Times New Roman" w:cs="Times New Roman"/>
          <w:sz w:val="24"/>
          <w:szCs w:val="24"/>
          <w:lang w:val="en-US"/>
        </w:rPr>
      </w:pPr>
      <w:r w:rsidRPr="006371D7">
        <w:rPr>
          <w:rFonts w:ascii="Times New Roman" w:hAnsi="Times New Roman" w:cs="Times New Roman"/>
          <w:sz w:val="24"/>
          <w:szCs w:val="24"/>
          <w:lang w:val="en-US"/>
        </w:rPr>
        <w:t>2. Data collection for management tasks.</w:t>
      </w:r>
    </w:p>
    <w:p w:rsidR="006371D7" w:rsidRPr="006371D7" w:rsidRDefault="006371D7" w:rsidP="00DA5564">
      <w:pPr>
        <w:spacing w:after="0" w:line="360" w:lineRule="auto"/>
        <w:jc w:val="both"/>
        <w:rPr>
          <w:rFonts w:ascii="Times New Roman" w:hAnsi="Times New Roman" w:cs="Times New Roman"/>
          <w:sz w:val="24"/>
          <w:szCs w:val="24"/>
          <w:lang w:val="en-US"/>
        </w:rPr>
      </w:pPr>
      <w:r w:rsidRPr="006371D7">
        <w:rPr>
          <w:rFonts w:ascii="Times New Roman" w:hAnsi="Times New Roman" w:cs="Times New Roman"/>
          <w:sz w:val="24"/>
          <w:szCs w:val="24"/>
          <w:lang w:val="en-US"/>
        </w:rPr>
        <w:t>Before performing any of the existing types of analysis, it is necessary to collect an array of data. In our case, these are estimates and types of mutual evaluations.</w:t>
      </w:r>
    </w:p>
    <w:p w:rsidR="006371D7" w:rsidRPr="006371D7" w:rsidRDefault="006371D7" w:rsidP="00DA5564">
      <w:pPr>
        <w:spacing w:after="0" w:line="360" w:lineRule="auto"/>
        <w:jc w:val="both"/>
        <w:rPr>
          <w:rFonts w:ascii="Times New Roman" w:hAnsi="Times New Roman" w:cs="Times New Roman"/>
          <w:sz w:val="24"/>
          <w:szCs w:val="24"/>
          <w:lang w:val="en-US"/>
        </w:rPr>
      </w:pPr>
      <w:r w:rsidRPr="006371D7">
        <w:rPr>
          <w:rFonts w:ascii="Times New Roman" w:hAnsi="Times New Roman" w:cs="Times New Roman"/>
          <w:sz w:val="24"/>
          <w:szCs w:val="24"/>
          <w:lang w:val="en-US"/>
        </w:rPr>
        <w:t>Currently, two assessments of national systems for combating money laundering and the financing of terrorism are being conducted</w:t>
      </w:r>
      <w:r w:rsidR="00880BDE">
        <w:rPr>
          <w:rFonts w:ascii="Times New Roman" w:hAnsi="Times New Roman" w:cs="Times New Roman"/>
          <w:sz w:val="24"/>
          <w:szCs w:val="24"/>
          <w:lang w:val="en-US"/>
        </w:rPr>
        <w:t xml:space="preserve"> [3]</w:t>
      </w:r>
      <w:r w:rsidRPr="006371D7">
        <w:rPr>
          <w:rFonts w:ascii="Times New Roman" w:hAnsi="Times New Roman" w:cs="Times New Roman"/>
          <w:sz w:val="24"/>
          <w:szCs w:val="24"/>
          <w:lang w:val="en-US"/>
        </w:rPr>
        <w:t>:</w:t>
      </w:r>
    </w:p>
    <w:p w:rsidR="006371D7" w:rsidRPr="000E4965" w:rsidRDefault="006371D7" w:rsidP="00DA5564">
      <w:pPr>
        <w:pStyle w:val="a4"/>
        <w:numPr>
          <w:ilvl w:val="0"/>
          <w:numId w:val="15"/>
        </w:numPr>
        <w:spacing w:after="0" w:line="360" w:lineRule="auto"/>
        <w:ind w:left="851" w:hanging="284"/>
        <w:jc w:val="both"/>
        <w:rPr>
          <w:rFonts w:ascii="Times New Roman" w:hAnsi="Times New Roman" w:cs="Times New Roman"/>
          <w:sz w:val="24"/>
          <w:szCs w:val="24"/>
          <w:lang w:val="en-US"/>
        </w:rPr>
      </w:pPr>
      <w:r w:rsidRPr="000E4965">
        <w:rPr>
          <w:rFonts w:ascii="Times New Roman" w:hAnsi="Times New Roman" w:cs="Times New Roman"/>
          <w:sz w:val="24"/>
          <w:szCs w:val="24"/>
          <w:lang w:val="en-US"/>
        </w:rPr>
        <w:t>assessment of technical compliance with the FATF Recommendations;</w:t>
      </w:r>
    </w:p>
    <w:p w:rsidR="006371D7" w:rsidRPr="000E4965" w:rsidRDefault="00FC1CCC" w:rsidP="00DA5564">
      <w:pPr>
        <w:pStyle w:val="a4"/>
        <w:numPr>
          <w:ilvl w:val="0"/>
          <w:numId w:val="15"/>
        </w:numPr>
        <w:spacing w:after="0" w:line="360" w:lineRule="auto"/>
        <w:ind w:left="851" w:hanging="284"/>
        <w:jc w:val="both"/>
        <w:rPr>
          <w:rFonts w:ascii="Times New Roman" w:hAnsi="Times New Roman" w:cs="Times New Roman"/>
          <w:sz w:val="24"/>
          <w:szCs w:val="24"/>
          <w:lang w:val="en-US"/>
        </w:rPr>
      </w:pPr>
      <w:r>
        <w:rPr>
          <w:rFonts w:ascii="Times New Roman" w:hAnsi="Times New Roman" w:cs="Times New Roman"/>
          <w:sz w:val="24"/>
          <w:szCs w:val="24"/>
          <w:lang w:val="en-US"/>
        </w:rPr>
        <w:t>e</w:t>
      </w:r>
      <w:r w:rsidR="006371D7" w:rsidRPr="000E4965">
        <w:rPr>
          <w:rFonts w:ascii="Times New Roman" w:hAnsi="Times New Roman" w:cs="Times New Roman"/>
          <w:sz w:val="24"/>
          <w:szCs w:val="24"/>
          <w:lang w:val="en-US"/>
        </w:rPr>
        <w:t>valuation of the effectiveness of the national AML/CFT system.</w:t>
      </w:r>
    </w:p>
    <w:p w:rsidR="006371D7" w:rsidRPr="006371D7" w:rsidRDefault="006371D7" w:rsidP="00DA5564">
      <w:pPr>
        <w:spacing w:after="0" w:line="360" w:lineRule="auto"/>
        <w:jc w:val="both"/>
        <w:rPr>
          <w:rFonts w:ascii="Times New Roman" w:hAnsi="Times New Roman" w:cs="Times New Roman"/>
          <w:sz w:val="24"/>
          <w:szCs w:val="24"/>
          <w:lang w:val="en-US"/>
        </w:rPr>
      </w:pPr>
      <w:r w:rsidRPr="006371D7">
        <w:rPr>
          <w:rFonts w:ascii="Times New Roman" w:hAnsi="Times New Roman" w:cs="Times New Roman"/>
          <w:sz w:val="24"/>
          <w:szCs w:val="24"/>
          <w:lang w:val="en-US"/>
        </w:rPr>
        <w:t xml:space="preserve">The technical conformity assessment is conducted to determine the compliance of the competent authorities, legal, administrative, financial and other structures that are </w:t>
      </w:r>
      <w:r>
        <w:rPr>
          <w:rFonts w:ascii="Times New Roman" w:hAnsi="Times New Roman" w:cs="Times New Roman"/>
          <w:sz w:val="24"/>
          <w:szCs w:val="24"/>
          <w:lang w:val="en-US"/>
        </w:rPr>
        <w:t>the basis of the national AML/</w:t>
      </w:r>
      <w:r w:rsidRPr="006371D7">
        <w:rPr>
          <w:rFonts w:ascii="Times New Roman" w:hAnsi="Times New Roman" w:cs="Times New Roman"/>
          <w:sz w:val="24"/>
          <w:szCs w:val="24"/>
          <w:lang w:val="en-US"/>
        </w:rPr>
        <w:t>CFT system, the FATF Recommendations.</w:t>
      </w:r>
    </w:p>
    <w:p w:rsidR="006371D7" w:rsidRPr="006371D7" w:rsidRDefault="006371D7" w:rsidP="00DA5564">
      <w:pPr>
        <w:spacing w:after="0" w:line="360" w:lineRule="auto"/>
        <w:jc w:val="both"/>
        <w:rPr>
          <w:rFonts w:ascii="Times New Roman" w:hAnsi="Times New Roman" w:cs="Times New Roman"/>
          <w:sz w:val="24"/>
          <w:szCs w:val="24"/>
          <w:lang w:val="en-US"/>
        </w:rPr>
      </w:pPr>
      <w:r w:rsidRPr="006371D7">
        <w:rPr>
          <w:rFonts w:ascii="Times New Roman" w:hAnsi="Times New Roman" w:cs="Times New Roman"/>
          <w:sz w:val="24"/>
          <w:szCs w:val="24"/>
          <w:lang w:val="en-US"/>
        </w:rPr>
        <w:t>Estimates of effectiveness also determine the sufficiency of the measures applied in accordance with the risk-oriented approach and the achievement of the results, without which it is impossible</w:t>
      </w:r>
      <w:r>
        <w:rPr>
          <w:rFonts w:ascii="Times New Roman" w:hAnsi="Times New Roman" w:cs="Times New Roman"/>
          <w:sz w:val="24"/>
          <w:szCs w:val="24"/>
          <w:lang w:val="en-US"/>
        </w:rPr>
        <w:t xml:space="preserve"> to create a full-fledged AML/</w:t>
      </w:r>
      <w:r w:rsidRPr="006371D7">
        <w:rPr>
          <w:rFonts w:ascii="Times New Roman" w:hAnsi="Times New Roman" w:cs="Times New Roman"/>
          <w:sz w:val="24"/>
          <w:szCs w:val="24"/>
          <w:lang w:val="en-US"/>
        </w:rPr>
        <w:t>CFT system. They indicate to</w:t>
      </w:r>
      <w:r>
        <w:rPr>
          <w:rFonts w:ascii="Times New Roman" w:hAnsi="Times New Roman" w:cs="Times New Roman"/>
          <w:sz w:val="24"/>
          <w:szCs w:val="24"/>
          <w:lang w:val="en-US"/>
        </w:rPr>
        <w:t xml:space="preserve"> what extent the national AML/</w:t>
      </w:r>
      <w:r w:rsidRPr="006371D7">
        <w:rPr>
          <w:rFonts w:ascii="Times New Roman" w:hAnsi="Times New Roman" w:cs="Times New Roman"/>
          <w:sz w:val="24"/>
          <w:szCs w:val="24"/>
          <w:lang w:val="en-US"/>
        </w:rPr>
        <w:t>CFT system reduces the risks and threats of money laundering and terrorist financing</w:t>
      </w:r>
      <w:r w:rsidR="00880BDE">
        <w:rPr>
          <w:rFonts w:ascii="Times New Roman" w:hAnsi="Times New Roman" w:cs="Times New Roman"/>
          <w:sz w:val="24"/>
          <w:szCs w:val="24"/>
          <w:lang w:val="en-US"/>
        </w:rPr>
        <w:t xml:space="preserve"> [4]</w:t>
      </w:r>
      <w:r w:rsidRPr="006371D7">
        <w:rPr>
          <w:rFonts w:ascii="Times New Roman" w:hAnsi="Times New Roman" w:cs="Times New Roman"/>
          <w:sz w:val="24"/>
          <w:szCs w:val="24"/>
          <w:lang w:val="en-US"/>
        </w:rPr>
        <w:t>.</w:t>
      </w:r>
    </w:p>
    <w:p w:rsidR="006371D7" w:rsidRPr="006371D7" w:rsidRDefault="006371D7" w:rsidP="00DA5564">
      <w:pPr>
        <w:spacing w:after="0" w:line="360" w:lineRule="auto"/>
        <w:jc w:val="both"/>
        <w:rPr>
          <w:rFonts w:ascii="Times New Roman" w:hAnsi="Times New Roman" w:cs="Times New Roman"/>
          <w:sz w:val="24"/>
          <w:szCs w:val="24"/>
          <w:lang w:val="en-US"/>
        </w:rPr>
      </w:pPr>
      <w:r w:rsidRPr="006371D7">
        <w:rPr>
          <w:rFonts w:ascii="Times New Roman" w:hAnsi="Times New Roman" w:cs="Times New Roman"/>
          <w:sz w:val="24"/>
          <w:szCs w:val="24"/>
          <w:lang w:val="en-US"/>
        </w:rPr>
        <w:t>Thus, the evaluation of the anti-money laundering and terrorist financing system, approved by the FATF in 2012, is based on a comprehensive review of two mutually complementary components: technical compliance and efficiency.</w:t>
      </w:r>
    </w:p>
    <w:p w:rsidR="00A81333" w:rsidRPr="00AA1CD3" w:rsidRDefault="006371D7" w:rsidP="00FC1CCC">
      <w:pPr>
        <w:spacing w:after="0" w:line="360" w:lineRule="auto"/>
        <w:jc w:val="both"/>
        <w:rPr>
          <w:rFonts w:ascii="Times New Roman" w:hAnsi="Times New Roman" w:cs="Times New Roman"/>
          <w:sz w:val="24"/>
          <w:szCs w:val="24"/>
          <w:lang w:val="en-US"/>
        </w:rPr>
      </w:pPr>
      <w:r w:rsidRPr="00AA1CD3">
        <w:rPr>
          <w:rFonts w:ascii="Times New Roman" w:hAnsi="Times New Roman" w:cs="Times New Roman"/>
          <w:sz w:val="24"/>
          <w:szCs w:val="24"/>
          <w:lang w:val="en-US"/>
        </w:rPr>
        <w:t xml:space="preserve">In carrying out the Mutual Evaluation, experts make a conclusion about </w:t>
      </w:r>
      <w:r w:rsidR="00FC1CCC" w:rsidRPr="00AA1CD3">
        <w:rPr>
          <w:rFonts w:ascii="Times New Roman" w:hAnsi="Times New Roman" w:cs="Times New Roman"/>
          <w:sz w:val="24"/>
          <w:szCs w:val="24"/>
          <w:lang w:val="en-US"/>
        </w:rPr>
        <w:t xml:space="preserve">the country's </w:t>
      </w:r>
      <w:r w:rsidRPr="00AA1CD3">
        <w:rPr>
          <w:rFonts w:ascii="Times New Roman" w:hAnsi="Times New Roman" w:cs="Times New Roman"/>
          <w:sz w:val="24"/>
          <w:szCs w:val="24"/>
          <w:lang w:val="en-US"/>
        </w:rPr>
        <w:t>technical compliance or no</w:t>
      </w:r>
      <w:r w:rsidR="00FC1CCC">
        <w:rPr>
          <w:rFonts w:ascii="Times New Roman" w:hAnsi="Times New Roman" w:cs="Times New Roman"/>
          <w:sz w:val="24"/>
          <w:szCs w:val="24"/>
          <w:lang w:val="en-US"/>
        </w:rPr>
        <w:t>n-</w:t>
      </w:r>
      <w:r w:rsidRPr="00AA1CD3">
        <w:rPr>
          <w:rFonts w:ascii="Times New Roman" w:hAnsi="Times New Roman" w:cs="Times New Roman"/>
          <w:sz w:val="24"/>
          <w:szCs w:val="24"/>
          <w:lang w:val="en-US"/>
        </w:rPr>
        <w:t>compliance with the Recommendation Standard.</w:t>
      </w:r>
    </w:p>
    <w:p w:rsidR="00A81333" w:rsidRDefault="00A81333" w:rsidP="00526248">
      <w:pPr>
        <w:spacing w:line="360" w:lineRule="auto"/>
        <w:jc w:val="both"/>
        <w:rPr>
          <w:rFonts w:ascii="Times New Roman" w:hAnsi="Times New Roman" w:cs="Times New Roman"/>
          <w:sz w:val="24"/>
          <w:szCs w:val="24"/>
          <w:lang w:val="en-US"/>
        </w:rPr>
      </w:pPr>
      <w:r w:rsidRPr="00A81333">
        <w:rPr>
          <w:rFonts w:ascii="Times New Roman" w:hAnsi="Times New Roman" w:cs="Times New Roman"/>
          <w:sz w:val="24"/>
          <w:szCs w:val="24"/>
          <w:lang w:val="en-US"/>
        </w:rPr>
        <w:t xml:space="preserve">There are </w:t>
      </w:r>
      <w:r w:rsidR="00FC1CCC">
        <w:rPr>
          <w:rFonts w:ascii="Times New Roman" w:hAnsi="Times New Roman" w:cs="Times New Roman"/>
          <w:sz w:val="24"/>
          <w:szCs w:val="24"/>
          <w:lang w:val="en-US"/>
        </w:rPr>
        <w:t>five</w:t>
      </w:r>
      <w:r w:rsidRPr="00A81333">
        <w:rPr>
          <w:rFonts w:ascii="Times New Roman" w:hAnsi="Times New Roman" w:cs="Times New Roman"/>
          <w:sz w:val="24"/>
          <w:szCs w:val="24"/>
          <w:lang w:val="en-US"/>
        </w:rPr>
        <w:t xml:space="preserve"> variants of </w:t>
      </w:r>
      <w:r w:rsidR="00FC1CCC">
        <w:rPr>
          <w:rFonts w:ascii="Times New Roman" w:hAnsi="Times New Roman" w:cs="Times New Roman"/>
          <w:sz w:val="24"/>
          <w:szCs w:val="24"/>
          <w:lang w:val="en-US"/>
        </w:rPr>
        <w:t>such</w:t>
      </w:r>
      <w:r w:rsidRPr="00A81333">
        <w:rPr>
          <w:rFonts w:ascii="Times New Roman" w:hAnsi="Times New Roman" w:cs="Times New Roman"/>
          <w:sz w:val="24"/>
          <w:szCs w:val="24"/>
          <w:lang w:val="en-US"/>
        </w:rPr>
        <w:t xml:space="preserve"> evaluation</w:t>
      </w:r>
      <w:r w:rsidR="00D40496">
        <w:rPr>
          <w:rFonts w:ascii="Times New Roman" w:hAnsi="Times New Roman" w:cs="Times New Roman"/>
          <w:sz w:val="24"/>
          <w:szCs w:val="24"/>
          <w:lang w:val="en-US"/>
        </w:rPr>
        <w:t xml:space="preserve"> of the Recommendation</w:t>
      </w:r>
      <w:r w:rsidR="00880BDE">
        <w:rPr>
          <w:rFonts w:ascii="Times New Roman" w:hAnsi="Times New Roman" w:cs="Times New Roman"/>
          <w:sz w:val="24"/>
          <w:szCs w:val="24"/>
          <w:lang w:val="en-US"/>
        </w:rPr>
        <w:t xml:space="preserve"> [5]</w:t>
      </w:r>
      <w:r w:rsidRPr="00A81333">
        <w:rPr>
          <w:rFonts w:ascii="Times New Roman" w:hAnsi="Times New Roman" w:cs="Times New Roman"/>
          <w:sz w:val="24"/>
          <w:szCs w:val="24"/>
          <w:lang w:val="en-US"/>
        </w:rPr>
        <w:t>: corresponds to (C), largely corresponds to (LC), partially corresponds to (PC), does not corre</w:t>
      </w:r>
      <w:r>
        <w:rPr>
          <w:rFonts w:ascii="Times New Roman" w:hAnsi="Times New Roman" w:cs="Times New Roman"/>
          <w:sz w:val="24"/>
          <w:szCs w:val="24"/>
          <w:lang w:val="en-US"/>
        </w:rPr>
        <w:t>spond (NC), not applicable (N/</w:t>
      </w:r>
      <w:r w:rsidRPr="00A81333">
        <w:rPr>
          <w:rFonts w:ascii="Times New Roman" w:hAnsi="Times New Roman" w:cs="Times New Roman"/>
          <w:sz w:val="24"/>
          <w:szCs w:val="24"/>
          <w:lang w:val="en-US"/>
        </w:rPr>
        <w:t xml:space="preserve">A). The "corresponds" rating indicates that there are no shortcomings in the implementation of the Recommendation. </w:t>
      </w:r>
    </w:p>
    <w:p w:rsidR="00022EDD" w:rsidRPr="000E4965" w:rsidRDefault="000E4965" w:rsidP="00DA5564">
      <w:pPr>
        <w:spacing w:line="360" w:lineRule="auto"/>
        <w:rPr>
          <w:rFonts w:ascii="Times New Roman" w:hAnsi="Times New Roman" w:cs="Times New Roman"/>
          <w:b/>
          <w:sz w:val="24"/>
          <w:szCs w:val="24"/>
          <w:shd w:val="clear" w:color="auto" w:fill="FFFFFF"/>
          <w:lang w:val="en-US"/>
        </w:rPr>
      </w:pPr>
      <w:r w:rsidRPr="000E4965">
        <w:rPr>
          <w:rFonts w:ascii="Times New Roman" w:hAnsi="Times New Roman" w:cs="Times New Roman"/>
          <w:b/>
          <w:sz w:val="24"/>
          <w:szCs w:val="24"/>
          <w:shd w:val="clear" w:color="auto" w:fill="FFFFFF"/>
          <w:lang w:val="en-US"/>
        </w:rPr>
        <w:lastRenderedPageBreak/>
        <w:t>Research methodology</w:t>
      </w:r>
    </w:p>
    <w:p w:rsidR="00022EDD" w:rsidRPr="00022EDD" w:rsidRDefault="00022EDD" w:rsidP="00DA5564">
      <w:pPr>
        <w:spacing w:after="0" w:line="360" w:lineRule="auto"/>
        <w:jc w:val="both"/>
        <w:rPr>
          <w:rFonts w:ascii="Times New Roman" w:hAnsi="Times New Roman" w:cs="Times New Roman"/>
          <w:sz w:val="24"/>
          <w:szCs w:val="24"/>
          <w:shd w:val="clear" w:color="auto" w:fill="FFFFFF"/>
          <w:lang w:val="en-US"/>
        </w:rPr>
      </w:pPr>
      <w:r w:rsidRPr="00022EDD">
        <w:rPr>
          <w:rFonts w:ascii="Times New Roman" w:hAnsi="Times New Roman" w:cs="Times New Roman"/>
          <w:sz w:val="24"/>
          <w:szCs w:val="24"/>
          <w:shd w:val="clear" w:color="auto" w:fill="FFFFFF"/>
          <w:lang w:val="en-US"/>
        </w:rPr>
        <w:t>Mutual evaluation reports are publicly available on the FATF official website, as well as on the websites of regional groups such as the FATF. Many countries at the time of the study have not yet conducted a mutual evaluation based on the 2012 FATF Recommendations.</w:t>
      </w:r>
    </w:p>
    <w:p w:rsidR="00022EDD" w:rsidRPr="00022EDD" w:rsidRDefault="00022EDD" w:rsidP="005F4581">
      <w:pPr>
        <w:spacing w:after="0" w:line="360" w:lineRule="auto"/>
        <w:jc w:val="both"/>
        <w:rPr>
          <w:rFonts w:ascii="Times New Roman" w:hAnsi="Times New Roman" w:cs="Times New Roman"/>
          <w:sz w:val="24"/>
          <w:szCs w:val="24"/>
          <w:shd w:val="clear" w:color="auto" w:fill="FFFFFF"/>
          <w:lang w:val="en-US"/>
        </w:rPr>
      </w:pPr>
      <w:r w:rsidRPr="00022EDD">
        <w:rPr>
          <w:rFonts w:ascii="Times New Roman" w:hAnsi="Times New Roman" w:cs="Times New Roman"/>
          <w:sz w:val="24"/>
          <w:szCs w:val="24"/>
          <w:shd w:val="clear" w:color="auto" w:fill="FFFFFF"/>
          <w:lang w:val="en-US"/>
        </w:rPr>
        <w:t xml:space="preserve">The study collected data on mutual assessments of countries according to the 2012 FATF standards: the FATF regional group, the country, the year of the report, and the evaluation of the Recommendations, the number of factors for each Recommendation and the Efficiency Assessment. The data set </w:t>
      </w:r>
      <w:r w:rsidR="005F4581">
        <w:rPr>
          <w:rFonts w:ascii="Times New Roman" w:hAnsi="Times New Roman" w:cs="Times New Roman"/>
          <w:sz w:val="24"/>
          <w:szCs w:val="24"/>
          <w:shd w:val="clear" w:color="auto" w:fill="FFFFFF"/>
          <w:lang w:val="en-US"/>
        </w:rPr>
        <w:t>comprised the estimates of</w:t>
      </w:r>
      <w:r w:rsidRPr="00022EDD">
        <w:rPr>
          <w:rFonts w:ascii="Times New Roman" w:hAnsi="Times New Roman" w:cs="Times New Roman"/>
          <w:sz w:val="24"/>
          <w:szCs w:val="24"/>
          <w:shd w:val="clear" w:color="auto" w:fill="FFFFFF"/>
          <w:lang w:val="en-US"/>
        </w:rPr>
        <w:t xml:space="preserve"> 28 countries.</w:t>
      </w:r>
    </w:p>
    <w:p w:rsidR="000E4965" w:rsidRPr="00DA5564" w:rsidRDefault="00022EDD" w:rsidP="00BB350C">
      <w:pPr>
        <w:spacing w:line="360" w:lineRule="auto"/>
        <w:jc w:val="both"/>
        <w:rPr>
          <w:rFonts w:ascii="Times New Roman" w:hAnsi="Times New Roman" w:cs="Times New Roman"/>
          <w:sz w:val="24"/>
          <w:szCs w:val="24"/>
          <w:lang w:val="en-US"/>
        </w:rPr>
      </w:pPr>
      <w:r w:rsidRPr="00022EDD">
        <w:rPr>
          <w:rFonts w:ascii="Times New Roman" w:hAnsi="Times New Roman" w:cs="Times New Roman"/>
          <w:sz w:val="24"/>
          <w:szCs w:val="24"/>
          <w:lang w:val="en-US"/>
        </w:rPr>
        <w:t xml:space="preserve">A methodology was developed </w:t>
      </w:r>
      <w:r w:rsidR="005F4581">
        <w:rPr>
          <w:rFonts w:ascii="Times New Roman" w:hAnsi="Times New Roman" w:cs="Times New Roman"/>
          <w:sz w:val="24"/>
          <w:szCs w:val="24"/>
          <w:lang w:val="en-US"/>
        </w:rPr>
        <w:t>to</w:t>
      </w:r>
      <w:r w:rsidRPr="00022EDD">
        <w:rPr>
          <w:rFonts w:ascii="Times New Roman" w:hAnsi="Times New Roman" w:cs="Times New Roman"/>
          <w:sz w:val="24"/>
          <w:szCs w:val="24"/>
          <w:lang w:val="en-US"/>
        </w:rPr>
        <w:t xml:space="preserve"> convert estimates into numerical equivalents, including </w:t>
      </w:r>
      <w:r w:rsidR="005F4581">
        <w:rPr>
          <w:rFonts w:ascii="Times New Roman" w:hAnsi="Times New Roman" w:cs="Times New Roman"/>
          <w:sz w:val="24"/>
          <w:szCs w:val="24"/>
          <w:lang w:val="en-US"/>
        </w:rPr>
        <w:t>a</w:t>
      </w:r>
      <w:r w:rsidRPr="00022EDD">
        <w:rPr>
          <w:rFonts w:ascii="Times New Roman" w:hAnsi="Times New Roman" w:cs="Times New Roman"/>
          <w:sz w:val="24"/>
          <w:szCs w:val="24"/>
          <w:lang w:val="en-US"/>
        </w:rPr>
        <w:t xml:space="preserve"> number of factors. When analyzing such a large number of variables and a relatively small sample size, it is advisable to convert the estimates of Recommendations and Efficiency to continuous values, and in the evaluation of the Recommendations, take into account the number of comments (factors) made in the mutual evaluation. The estimates were converted as shown in Tables 1-2.</w:t>
      </w:r>
    </w:p>
    <w:p w:rsidR="00DA5564" w:rsidRPr="00C40C13" w:rsidRDefault="00DA5564" w:rsidP="00DA5564">
      <w:pPr>
        <w:spacing w:line="360" w:lineRule="auto"/>
        <w:rPr>
          <w:rFonts w:ascii="Times New Roman" w:hAnsi="Times New Roman" w:cs="Times New Roman"/>
          <w:sz w:val="20"/>
          <w:lang w:val="en-US"/>
        </w:rPr>
        <w:sectPr w:rsidR="00DA5564" w:rsidRPr="00C40C13" w:rsidSect="000E4965">
          <w:footerReference w:type="default" r:id="rId7"/>
          <w:type w:val="continuous"/>
          <w:pgSz w:w="12240" w:h="15840"/>
          <w:pgMar w:top="1134" w:right="1134" w:bottom="1134" w:left="1134" w:header="709" w:footer="709" w:gutter="0"/>
          <w:cols w:space="357"/>
          <w:docGrid w:linePitch="299"/>
        </w:sectPr>
      </w:pPr>
    </w:p>
    <w:p w:rsidR="00C71F6D" w:rsidRPr="00022EDD" w:rsidRDefault="000E4965" w:rsidP="00DA5564">
      <w:pPr>
        <w:spacing w:line="360" w:lineRule="auto"/>
        <w:ind w:firstLine="426"/>
        <w:rPr>
          <w:rFonts w:ascii="Times New Roman" w:hAnsi="Times New Roman" w:cs="Times New Roman"/>
          <w:sz w:val="20"/>
          <w:lang w:val="en-US"/>
        </w:rPr>
      </w:pPr>
      <w:r>
        <w:rPr>
          <w:rFonts w:ascii="Times New Roman" w:hAnsi="Times New Roman" w:cs="Times New Roman"/>
          <w:sz w:val="20"/>
          <w:lang w:val="en-US"/>
        </w:rPr>
        <w:lastRenderedPageBreak/>
        <w:t>Table 1</w:t>
      </w:r>
      <w:r w:rsidRPr="000E4965">
        <w:rPr>
          <w:rFonts w:ascii="Times New Roman" w:hAnsi="Times New Roman" w:cs="Times New Roman"/>
          <w:sz w:val="20"/>
          <w:lang w:val="en-US"/>
        </w:rPr>
        <w:t xml:space="preserve"> </w:t>
      </w:r>
      <w:r w:rsidRPr="000E4965">
        <w:rPr>
          <w:rFonts w:ascii="Times New Roman" w:hAnsi="Times New Roman" w:cs="Times New Roman"/>
          <w:sz w:val="20"/>
          <w:szCs w:val="20"/>
          <w:lang w:val="en-US"/>
        </w:rPr>
        <w:t xml:space="preserve">— </w:t>
      </w:r>
      <w:r w:rsidRPr="00022EDD">
        <w:rPr>
          <w:rFonts w:ascii="Times New Roman" w:hAnsi="Times New Roman" w:cs="Times New Roman"/>
          <w:sz w:val="20"/>
          <w:lang w:val="en-US"/>
        </w:rPr>
        <w:t xml:space="preserve"> Number of evaluations recommendations</w:t>
      </w:r>
    </w:p>
    <w:tbl>
      <w:tblPr>
        <w:tblStyle w:val="a8"/>
        <w:tblW w:w="0" w:type="auto"/>
        <w:jc w:val="center"/>
        <w:tblLook w:val="04A0" w:firstRow="1" w:lastRow="0" w:firstColumn="1" w:lastColumn="0" w:noHBand="0" w:noVBand="1"/>
      </w:tblPr>
      <w:tblGrid>
        <w:gridCol w:w="1919"/>
        <w:gridCol w:w="2169"/>
      </w:tblGrid>
      <w:tr w:rsidR="00C71F6D" w:rsidRPr="002E59F5" w:rsidTr="00DA5564">
        <w:trPr>
          <w:trHeight w:val="458"/>
          <w:jc w:val="center"/>
        </w:trPr>
        <w:tc>
          <w:tcPr>
            <w:tcW w:w="1919" w:type="dxa"/>
          </w:tcPr>
          <w:p w:rsidR="00C71F6D" w:rsidRPr="00111EDC" w:rsidRDefault="004C332D" w:rsidP="00DA5564">
            <w:pPr>
              <w:jc w:val="center"/>
              <w:rPr>
                <w:rFonts w:ascii="Times New Roman" w:hAnsi="Times New Roman" w:cs="Times New Roman"/>
              </w:rPr>
            </w:pPr>
            <w:r w:rsidRPr="004C332D">
              <w:rPr>
                <w:rFonts w:ascii="Times New Roman" w:hAnsi="Times New Roman" w:cs="Times New Roman"/>
              </w:rPr>
              <w:t>Evaluation of Recommendation</w:t>
            </w:r>
          </w:p>
        </w:tc>
        <w:tc>
          <w:tcPr>
            <w:tcW w:w="2169" w:type="dxa"/>
          </w:tcPr>
          <w:p w:rsidR="00C71F6D" w:rsidRPr="004C332D" w:rsidRDefault="004C332D" w:rsidP="00DA5564">
            <w:pPr>
              <w:jc w:val="center"/>
              <w:rPr>
                <w:rFonts w:ascii="Times New Roman" w:hAnsi="Times New Roman" w:cs="Times New Roman"/>
                <w:lang w:val="en-US"/>
              </w:rPr>
            </w:pPr>
            <w:r w:rsidRPr="004C332D">
              <w:rPr>
                <w:rFonts w:ascii="Times New Roman" w:hAnsi="Times New Roman" w:cs="Times New Roman"/>
                <w:lang w:val="en-US"/>
              </w:rPr>
              <w:t>The numerical representation of evaluation</w:t>
            </w:r>
          </w:p>
        </w:tc>
      </w:tr>
      <w:tr w:rsidR="00C71F6D" w:rsidRPr="00111EDC" w:rsidTr="00DA5564">
        <w:trPr>
          <w:trHeight w:val="228"/>
          <w:jc w:val="center"/>
        </w:trPr>
        <w:tc>
          <w:tcPr>
            <w:tcW w:w="1919" w:type="dxa"/>
          </w:tcPr>
          <w:p w:rsidR="00C71F6D" w:rsidRPr="00111EDC" w:rsidRDefault="00C71F6D" w:rsidP="00DA5564">
            <w:pPr>
              <w:jc w:val="center"/>
              <w:rPr>
                <w:rFonts w:ascii="Times New Roman" w:hAnsi="Times New Roman" w:cs="Times New Roman"/>
              </w:rPr>
            </w:pPr>
            <w:r w:rsidRPr="00111EDC">
              <w:rPr>
                <w:rFonts w:ascii="Times New Roman" w:hAnsi="Times New Roman" w:cs="Times New Roman"/>
                <w:lang w:val="en-US"/>
              </w:rPr>
              <w:t>C</w:t>
            </w:r>
          </w:p>
        </w:tc>
        <w:tc>
          <w:tcPr>
            <w:tcW w:w="2169" w:type="dxa"/>
          </w:tcPr>
          <w:p w:rsidR="00C71F6D" w:rsidRPr="00111EDC" w:rsidRDefault="00C71F6D" w:rsidP="00DA5564">
            <w:pPr>
              <w:jc w:val="center"/>
              <w:rPr>
                <w:rFonts w:ascii="Times New Roman" w:hAnsi="Times New Roman" w:cs="Times New Roman"/>
              </w:rPr>
            </w:pPr>
            <w:r w:rsidRPr="00111EDC">
              <w:rPr>
                <w:rFonts w:ascii="Times New Roman" w:hAnsi="Times New Roman" w:cs="Times New Roman"/>
              </w:rPr>
              <w:t>1,000</w:t>
            </w:r>
          </w:p>
        </w:tc>
      </w:tr>
      <w:tr w:rsidR="00C71F6D" w:rsidRPr="00111EDC" w:rsidTr="00DA5564">
        <w:trPr>
          <w:trHeight w:val="228"/>
          <w:jc w:val="center"/>
        </w:trPr>
        <w:tc>
          <w:tcPr>
            <w:tcW w:w="1919" w:type="dxa"/>
          </w:tcPr>
          <w:p w:rsidR="00C71F6D" w:rsidRPr="00111EDC" w:rsidRDefault="00C71F6D" w:rsidP="00DA5564">
            <w:pPr>
              <w:jc w:val="center"/>
              <w:rPr>
                <w:rFonts w:ascii="Times New Roman" w:hAnsi="Times New Roman" w:cs="Times New Roman"/>
              </w:rPr>
            </w:pPr>
            <w:r w:rsidRPr="00111EDC">
              <w:rPr>
                <w:rFonts w:ascii="Times New Roman" w:hAnsi="Times New Roman" w:cs="Times New Roman"/>
                <w:lang w:val="en-US"/>
              </w:rPr>
              <w:t>LC</w:t>
            </w:r>
          </w:p>
        </w:tc>
        <w:tc>
          <w:tcPr>
            <w:tcW w:w="2169" w:type="dxa"/>
          </w:tcPr>
          <w:p w:rsidR="00C71F6D" w:rsidRPr="00111EDC" w:rsidRDefault="00C71F6D" w:rsidP="00DA5564">
            <w:pPr>
              <w:jc w:val="center"/>
              <w:rPr>
                <w:rFonts w:ascii="Times New Roman" w:hAnsi="Times New Roman" w:cs="Times New Roman"/>
              </w:rPr>
            </w:pPr>
            <w:r w:rsidRPr="00111EDC">
              <w:rPr>
                <w:rFonts w:ascii="Times New Roman" w:hAnsi="Times New Roman" w:cs="Times New Roman"/>
              </w:rPr>
              <w:t>0,999</w:t>
            </w:r>
          </w:p>
        </w:tc>
      </w:tr>
      <w:tr w:rsidR="00C71F6D" w:rsidRPr="00111EDC" w:rsidTr="00DA5564">
        <w:trPr>
          <w:trHeight w:val="204"/>
          <w:jc w:val="center"/>
        </w:trPr>
        <w:tc>
          <w:tcPr>
            <w:tcW w:w="1919" w:type="dxa"/>
          </w:tcPr>
          <w:p w:rsidR="00C71F6D" w:rsidRPr="00111EDC" w:rsidRDefault="00C71F6D" w:rsidP="00DA5564">
            <w:pPr>
              <w:jc w:val="center"/>
              <w:rPr>
                <w:rFonts w:ascii="Times New Roman" w:hAnsi="Times New Roman" w:cs="Times New Roman"/>
              </w:rPr>
            </w:pPr>
            <w:r w:rsidRPr="00111EDC">
              <w:rPr>
                <w:rFonts w:ascii="Times New Roman" w:hAnsi="Times New Roman" w:cs="Times New Roman"/>
                <w:lang w:val="en-US"/>
              </w:rPr>
              <w:t>PC</w:t>
            </w:r>
          </w:p>
        </w:tc>
        <w:tc>
          <w:tcPr>
            <w:tcW w:w="2169" w:type="dxa"/>
          </w:tcPr>
          <w:p w:rsidR="00C71F6D" w:rsidRPr="00111EDC" w:rsidRDefault="00C71F6D" w:rsidP="00DA5564">
            <w:pPr>
              <w:jc w:val="center"/>
              <w:rPr>
                <w:rFonts w:ascii="Times New Roman" w:hAnsi="Times New Roman" w:cs="Times New Roman"/>
              </w:rPr>
            </w:pPr>
            <w:r w:rsidRPr="00111EDC">
              <w:rPr>
                <w:rFonts w:ascii="Times New Roman" w:hAnsi="Times New Roman" w:cs="Times New Roman"/>
              </w:rPr>
              <w:t>0,666</w:t>
            </w:r>
          </w:p>
        </w:tc>
      </w:tr>
      <w:tr w:rsidR="00C71F6D" w:rsidRPr="00111EDC" w:rsidTr="00DA5564">
        <w:trPr>
          <w:trHeight w:val="228"/>
          <w:jc w:val="center"/>
        </w:trPr>
        <w:tc>
          <w:tcPr>
            <w:tcW w:w="1919" w:type="dxa"/>
          </w:tcPr>
          <w:p w:rsidR="00C71F6D" w:rsidRPr="00111EDC" w:rsidRDefault="00C71F6D" w:rsidP="00DA5564">
            <w:pPr>
              <w:jc w:val="center"/>
              <w:rPr>
                <w:rFonts w:ascii="Times New Roman" w:hAnsi="Times New Roman" w:cs="Times New Roman"/>
              </w:rPr>
            </w:pPr>
            <w:r w:rsidRPr="00111EDC">
              <w:rPr>
                <w:rFonts w:ascii="Times New Roman" w:hAnsi="Times New Roman" w:cs="Times New Roman"/>
                <w:lang w:val="en-US"/>
              </w:rPr>
              <w:t>NC</w:t>
            </w:r>
          </w:p>
        </w:tc>
        <w:tc>
          <w:tcPr>
            <w:tcW w:w="2169" w:type="dxa"/>
          </w:tcPr>
          <w:p w:rsidR="00C71F6D" w:rsidRPr="00111EDC" w:rsidRDefault="00C71F6D" w:rsidP="00DA5564">
            <w:pPr>
              <w:jc w:val="center"/>
              <w:rPr>
                <w:rFonts w:ascii="Times New Roman" w:hAnsi="Times New Roman" w:cs="Times New Roman"/>
              </w:rPr>
            </w:pPr>
            <w:r w:rsidRPr="00111EDC">
              <w:rPr>
                <w:rFonts w:ascii="Times New Roman" w:hAnsi="Times New Roman" w:cs="Times New Roman"/>
              </w:rPr>
              <w:t>0,333</w:t>
            </w:r>
          </w:p>
        </w:tc>
      </w:tr>
    </w:tbl>
    <w:p w:rsidR="00C71F6D" w:rsidRDefault="00C71F6D" w:rsidP="00DA5564">
      <w:r>
        <w:tab/>
      </w:r>
    </w:p>
    <w:p w:rsidR="00C71F6D" w:rsidRPr="004C332D" w:rsidRDefault="000E4965" w:rsidP="00DA5564">
      <w:pPr>
        <w:jc w:val="center"/>
        <w:rPr>
          <w:rFonts w:ascii="Times New Roman" w:hAnsi="Times New Roman" w:cs="Times New Roman"/>
          <w:sz w:val="20"/>
          <w:lang w:val="en-US"/>
        </w:rPr>
      </w:pPr>
      <w:r>
        <w:rPr>
          <w:rFonts w:ascii="Times New Roman" w:hAnsi="Times New Roman" w:cs="Times New Roman"/>
          <w:sz w:val="20"/>
          <w:lang w:val="en-US"/>
        </w:rPr>
        <w:lastRenderedPageBreak/>
        <w:t>Table 2</w:t>
      </w:r>
      <w:r>
        <w:rPr>
          <w:rFonts w:ascii="Times New Roman" w:hAnsi="Times New Roman" w:cs="Times New Roman"/>
          <w:sz w:val="20"/>
        </w:rPr>
        <w:t xml:space="preserve"> </w:t>
      </w:r>
      <w:r w:rsidRPr="004B0B40">
        <w:rPr>
          <w:rFonts w:ascii="Times New Roman" w:hAnsi="Times New Roman" w:cs="Times New Roman"/>
          <w:sz w:val="20"/>
          <w:szCs w:val="20"/>
        </w:rPr>
        <w:t xml:space="preserve">— </w:t>
      </w:r>
      <w:r w:rsidRPr="004C332D">
        <w:rPr>
          <w:rFonts w:ascii="Times New Roman" w:hAnsi="Times New Roman" w:cs="Times New Roman"/>
          <w:sz w:val="20"/>
          <w:lang w:val="en-US"/>
        </w:rPr>
        <w:t xml:space="preserve"> Number of evaluations efficiency</w:t>
      </w:r>
    </w:p>
    <w:tbl>
      <w:tblPr>
        <w:tblStyle w:val="a8"/>
        <w:tblW w:w="0" w:type="auto"/>
        <w:jc w:val="center"/>
        <w:tblLook w:val="04A0" w:firstRow="1" w:lastRow="0" w:firstColumn="1" w:lastColumn="0" w:noHBand="0" w:noVBand="1"/>
      </w:tblPr>
      <w:tblGrid>
        <w:gridCol w:w="1367"/>
        <w:gridCol w:w="2545"/>
      </w:tblGrid>
      <w:tr w:rsidR="00C71F6D" w:rsidRPr="002E59F5" w:rsidTr="00DA5564">
        <w:trPr>
          <w:trHeight w:val="471"/>
          <w:jc w:val="center"/>
        </w:trPr>
        <w:tc>
          <w:tcPr>
            <w:tcW w:w="1367" w:type="dxa"/>
          </w:tcPr>
          <w:p w:rsidR="00C71F6D" w:rsidRPr="00111EDC" w:rsidRDefault="004C332D" w:rsidP="00DA5564">
            <w:pPr>
              <w:jc w:val="center"/>
              <w:rPr>
                <w:rFonts w:ascii="Times New Roman" w:hAnsi="Times New Roman" w:cs="Times New Roman"/>
              </w:rPr>
            </w:pPr>
            <w:r w:rsidRPr="004C332D">
              <w:rPr>
                <w:rFonts w:ascii="Times New Roman" w:hAnsi="Times New Roman" w:cs="Times New Roman"/>
              </w:rPr>
              <w:t>Efficiency Evaluation</w:t>
            </w:r>
          </w:p>
        </w:tc>
        <w:tc>
          <w:tcPr>
            <w:tcW w:w="2545" w:type="dxa"/>
          </w:tcPr>
          <w:p w:rsidR="00C71F6D" w:rsidRPr="004C332D" w:rsidRDefault="004C332D" w:rsidP="00DA5564">
            <w:pPr>
              <w:jc w:val="center"/>
              <w:rPr>
                <w:rFonts w:ascii="Times New Roman" w:hAnsi="Times New Roman" w:cs="Times New Roman"/>
                <w:lang w:val="en-US"/>
              </w:rPr>
            </w:pPr>
            <w:r w:rsidRPr="004C332D">
              <w:rPr>
                <w:rFonts w:ascii="Times New Roman" w:hAnsi="Times New Roman" w:cs="Times New Roman"/>
                <w:lang w:val="en-US"/>
              </w:rPr>
              <w:t>The numerical representation of evaluation</w:t>
            </w:r>
          </w:p>
        </w:tc>
      </w:tr>
      <w:tr w:rsidR="00C71F6D" w:rsidRPr="00111EDC" w:rsidTr="00DA5564">
        <w:trPr>
          <w:trHeight w:val="210"/>
          <w:jc w:val="center"/>
        </w:trPr>
        <w:tc>
          <w:tcPr>
            <w:tcW w:w="1367" w:type="dxa"/>
          </w:tcPr>
          <w:p w:rsidR="00C71F6D" w:rsidRPr="00111EDC" w:rsidRDefault="00C71F6D" w:rsidP="00DA5564">
            <w:pPr>
              <w:jc w:val="center"/>
              <w:rPr>
                <w:rFonts w:ascii="Times New Roman" w:hAnsi="Times New Roman" w:cs="Times New Roman"/>
                <w:lang w:val="en-US"/>
              </w:rPr>
            </w:pPr>
            <w:r w:rsidRPr="00111EDC">
              <w:rPr>
                <w:rFonts w:ascii="Times New Roman" w:hAnsi="Times New Roman" w:cs="Times New Roman"/>
                <w:lang w:val="en-US"/>
              </w:rPr>
              <w:t>H</w:t>
            </w:r>
          </w:p>
        </w:tc>
        <w:tc>
          <w:tcPr>
            <w:tcW w:w="2545" w:type="dxa"/>
          </w:tcPr>
          <w:p w:rsidR="00C71F6D" w:rsidRPr="00111EDC" w:rsidRDefault="00C71F6D" w:rsidP="00DA5564">
            <w:pPr>
              <w:jc w:val="center"/>
              <w:rPr>
                <w:rFonts w:ascii="Times New Roman" w:hAnsi="Times New Roman" w:cs="Times New Roman"/>
              </w:rPr>
            </w:pPr>
            <w:r w:rsidRPr="00111EDC">
              <w:rPr>
                <w:rFonts w:ascii="Times New Roman" w:hAnsi="Times New Roman" w:cs="Times New Roman"/>
                <w:lang w:val="en-US"/>
              </w:rPr>
              <w:t>1,00</w:t>
            </w:r>
            <w:r w:rsidRPr="00111EDC">
              <w:rPr>
                <w:rFonts w:ascii="Times New Roman" w:hAnsi="Times New Roman" w:cs="Times New Roman"/>
              </w:rPr>
              <w:t>0</w:t>
            </w:r>
          </w:p>
        </w:tc>
      </w:tr>
      <w:tr w:rsidR="00C71F6D" w:rsidRPr="00111EDC" w:rsidTr="00DA5564">
        <w:trPr>
          <w:trHeight w:val="235"/>
          <w:jc w:val="center"/>
        </w:trPr>
        <w:tc>
          <w:tcPr>
            <w:tcW w:w="1367" w:type="dxa"/>
          </w:tcPr>
          <w:p w:rsidR="00C71F6D" w:rsidRPr="00111EDC" w:rsidRDefault="00C71F6D" w:rsidP="00DA5564">
            <w:pPr>
              <w:jc w:val="center"/>
              <w:rPr>
                <w:rFonts w:ascii="Times New Roman" w:hAnsi="Times New Roman" w:cs="Times New Roman"/>
                <w:lang w:val="en-US"/>
              </w:rPr>
            </w:pPr>
            <w:r w:rsidRPr="00111EDC">
              <w:rPr>
                <w:rFonts w:ascii="Times New Roman" w:hAnsi="Times New Roman" w:cs="Times New Roman"/>
                <w:lang w:val="en-US"/>
              </w:rPr>
              <w:t>S</w:t>
            </w:r>
          </w:p>
        </w:tc>
        <w:tc>
          <w:tcPr>
            <w:tcW w:w="2545" w:type="dxa"/>
          </w:tcPr>
          <w:p w:rsidR="00C71F6D" w:rsidRPr="00111EDC" w:rsidRDefault="00C71F6D" w:rsidP="00DA5564">
            <w:pPr>
              <w:jc w:val="center"/>
              <w:rPr>
                <w:rFonts w:ascii="Times New Roman" w:hAnsi="Times New Roman" w:cs="Times New Roman"/>
              </w:rPr>
            </w:pPr>
            <w:r w:rsidRPr="00111EDC">
              <w:rPr>
                <w:rFonts w:ascii="Times New Roman" w:hAnsi="Times New Roman" w:cs="Times New Roman"/>
                <w:lang w:val="en-US"/>
              </w:rPr>
              <w:t>0,66</w:t>
            </w:r>
            <w:r w:rsidRPr="00111EDC">
              <w:rPr>
                <w:rFonts w:ascii="Times New Roman" w:hAnsi="Times New Roman" w:cs="Times New Roman"/>
              </w:rPr>
              <w:t>6</w:t>
            </w:r>
          </w:p>
        </w:tc>
      </w:tr>
      <w:tr w:rsidR="00C71F6D" w:rsidRPr="00111EDC" w:rsidTr="00DA5564">
        <w:trPr>
          <w:trHeight w:val="235"/>
          <w:jc w:val="center"/>
        </w:trPr>
        <w:tc>
          <w:tcPr>
            <w:tcW w:w="1367" w:type="dxa"/>
          </w:tcPr>
          <w:p w:rsidR="00C71F6D" w:rsidRPr="00111EDC" w:rsidRDefault="00C71F6D" w:rsidP="00DA5564">
            <w:pPr>
              <w:jc w:val="center"/>
              <w:rPr>
                <w:rFonts w:ascii="Times New Roman" w:hAnsi="Times New Roman" w:cs="Times New Roman"/>
                <w:lang w:val="en-US"/>
              </w:rPr>
            </w:pPr>
            <w:r w:rsidRPr="00111EDC">
              <w:rPr>
                <w:rFonts w:ascii="Times New Roman" w:hAnsi="Times New Roman" w:cs="Times New Roman"/>
                <w:lang w:val="en-US"/>
              </w:rPr>
              <w:t>M</w:t>
            </w:r>
          </w:p>
        </w:tc>
        <w:tc>
          <w:tcPr>
            <w:tcW w:w="2545" w:type="dxa"/>
          </w:tcPr>
          <w:p w:rsidR="00C71F6D" w:rsidRPr="00111EDC" w:rsidRDefault="00C71F6D" w:rsidP="00DA5564">
            <w:pPr>
              <w:jc w:val="center"/>
              <w:rPr>
                <w:rFonts w:ascii="Times New Roman" w:hAnsi="Times New Roman" w:cs="Times New Roman"/>
              </w:rPr>
            </w:pPr>
            <w:r w:rsidRPr="00111EDC">
              <w:rPr>
                <w:rFonts w:ascii="Times New Roman" w:hAnsi="Times New Roman" w:cs="Times New Roman"/>
                <w:lang w:val="en-US"/>
              </w:rPr>
              <w:t>0,33</w:t>
            </w:r>
            <w:r w:rsidRPr="00111EDC">
              <w:rPr>
                <w:rFonts w:ascii="Times New Roman" w:hAnsi="Times New Roman" w:cs="Times New Roman"/>
              </w:rPr>
              <w:t>3</w:t>
            </w:r>
          </w:p>
        </w:tc>
      </w:tr>
      <w:tr w:rsidR="00C71F6D" w:rsidRPr="00111EDC" w:rsidTr="00DA5564">
        <w:trPr>
          <w:trHeight w:val="235"/>
          <w:jc w:val="center"/>
        </w:trPr>
        <w:tc>
          <w:tcPr>
            <w:tcW w:w="1367" w:type="dxa"/>
          </w:tcPr>
          <w:p w:rsidR="00C71F6D" w:rsidRPr="00111EDC" w:rsidRDefault="00C71F6D" w:rsidP="00DA5564">
            <w:pPr>
              <w:jc w:val="center"/>
              <w:rPr>
                <w:rFonts w:ascii="Times New Roman" w:hAnsi="Times New Roman" w:cs="Times New Roman"/>
                <w:lang w:val="en-US"/>
              </w:rPr>
            </w:pPr>
            <w:r w:rsidRPr="00111EDC">
              <w:rPr>
                <w:rFonts w:ascii="Times New Roman" w:hAnsi="Times New Roman" w:cs="Times New Roman"/>
                <w:lang w:val="en-US"/>
              </w:rPr>
              <w:t>L</w:t>
            </w:r>
          </w:p>
        </w:tc>
        <w:tc>
          <w:tcPr>
            <w:tcW w:w="2545" w:type="dxa"/>
          </w:tcPr>
          <w:p w:rsidR="00C71F6D" w:rsidRPr="00111EDC" w:rsidRDefault="00C71F6D" w:rsidP="00DA5564">
            <w:pPr>
              <w:jc w:val="center"/>
              <w:rPr>
                <w:rFonts w:ascii="Times New Roman" w:hAnsi="Times New Roman" w:cs="Times New Roman"/>
              </w:rPr>
            </w:pPr>
            <w:r w:rsidRPr="00111EDC">
              <w:rPr>
                <w:rFonts w:ascii="Times New Roman" w:hAnsi="Times New Roman" w:cs="Times New Roman"/>
                <w:lang w:val="en-US"/>
              </w:rPr>
              <w:t>0,00</w:t>
            </w:r>
            <w:r w:rsidRPr="00111EDC">
              <w:rPr>
                <w:rFonts w:ascii="Times New Roman" w:hAnsi="Times New Roman" w:cs="Times New Roman"/>
              </w:rPr>
              <w:t>0</w:t>
            </w:r>
          </w:p>
        </w:tc>
      </w:tr>
    </w:tbl>
    <w:p w:rsidR="00DA5564" w:rsidRDefault="00DA5564" w:rsidP="00DA5564">
      <w:pPr>
        <w:sectPr w:rsidR="00DA5564" w:rsidSect="00DA5564">
          <w:type w:val="continuous"/>
          <w:pgSz w:w="12240" w:h="15840"/>
          <w:pgMar w:top="1134" w:right="1134" w:bottom="1134" w:left="1134" w:header="709" w:footer="709" w:gutter="0"/>
          <w:cols w:num="2" w:space="357"/>
          <w:docGrid w:linePitch="299"/>
        </w:sectPr>
      </w:pPr>
    </w:p>
    <w:p w:rsidR="00C71F6D" w:rsidRPr="00C40C13" w:rsidRDefault="004C332D" w:rsidP="00DA5564">
      <w:pPr>
        <w:spacing w:line="360" w:lineRule="auto"/>
        <w:jc w:val="both"/>
        <w:rPr>
          <w:lang w:val="en-US"/>
        </w:rPr>
      </w:pPr>
      <w:r w:rsidRPr="004C332D">
        <w:rPr>
          <w:rFonts w:ascii="Times New Roman" w:hAnsi="Times New Roman" w:cs="Times New Roman"/>
          <w:sz w:val="24"/>
          <w:lang w:val="en-US"/>
        </w:rPr>
        <w:lastRenderedPageBreak/>
        <w:t>To calculate the number of factors in the evaluation of the Recommendations, additional calculations were made. From the tabular value of the estimate, the assessment range (0.333) was subtracted, multiplied by the number of factors and divided by the maximum value of the factors for this Recommendation among the entire sample (Formula 1).</w:t>
      </w:r>
    </w:p>
    <w:tbl>
      <w:tblPr>
        <w:tblW w:w="11622" w:type="dxa"/>
        <w:tblLayout w:type="fixed"/>
        <w:tblLook w:val="04A0" w:firstRow="1" w:lastRow="0" w:firstColumn="1" w:lastColumn="0" w:noHBand="0" w:noVBand="1"/>
      </w:tblPr>
      <w:tblGrid>
        <w:gridCol w:w="10881"/>
        <w:gridCol w:w="741"/>
      </w:tblGrid>
      <w:tr w:rsidR="00C71F6D" w:rsidRPr="002E59F5" w:rsidTr="000E4965">
        <w:trPr>
          <w:trHeight w:val="919"/>
        </w:trPr>
        <w:tc>
          <w:tcPr>
            <w:tcW w:w="10881" w:type="dxa"/>
            <w:shd w:val="clear" w:color="auto" w:fill="auto"/>
            <w:vAlign w:val="center"/>
          </w:tcPr>
          <w:p w:rsidR="000E4965" w:rsidRPr="000E4965" w:rsidRDefault="000A10B3" w:rsidP="00DA5564">
            <w:pPr>
              <w:ind w:firstLine="709"/>
              <w:jc w:val="right"/>
              <w:rPr>
                <w:rFonts w:ascii="Times New Roman" w:hAnsi="Times New Roman" w:cs="Times New Roman"/>
                <w:sz w:val="28"/>
                <w:szCs w:val="28"/>
                <w:lang w:val="en-US"/>
              </w:rPr>
            </w:pPr>
            <m:oMath>
              <m:sSub>
                <m:sSubPr>
                  <m:ctrlPr>
                    <w:rPr>
                      <w:rFonts w:ascii="Cambria Math" w:hAnsi="Times New Roman" w:cs="Times New Roman"/>
                      <w:i/>
                      <w:sz w:val="24"/>
                    </w:rPr>
                  </m:ctrlPr>
                </m:sSubPr>
                <m:e>
                  <m:r>
                    <w:rPr>
                      <w:rFonts w:ascii="Cambria Math" w:hAnsi="Cambria Math" w:cs="Times New Roman"/>
                      <w:sz w:val="24"/>
                    </w:rPr>
                    <m:t>C</m:t>
                  </m:r>
                  <m:r>
                    <w:rPr>
                      <w:rFonts w:ascii="Cambria Math" w:hAnsi="Times New Roman" w:cs="Times New Roman"/>
                      <w:sz w:val="24"/>
                      <w:lang w:val="en-US"/>
                    </w:rPr>
                    <m:t>_</m:t>
                  </m:r>
                  <m:r>
                    <w:rPr>
                      <w:rFonts w:ascii="Cambria Math" w:hAnsi="Cambria Math" w:cs="Times New Roman"/>
                      <w:sz w:val="24"/>
                    </w:rPr>
                    <m:t>Rnn</m:t>
                  </m:r>
                </m:e>
                <m:sub>
                  <m:r>
                    <w:rPr>
                      <w:rFonts w:ascii="Cambria Math" w:hAnsi="Cambria Math" w:cs="Times New Roman"/>
                      <w:sz w:val="24"/>
                    </w:rPr>
                    <m:t>i</m:t>
                  </m:r>
                </m:sub>
              </m:sSub>
              <m:r>
                <w:rPr>
                  <w:rFonts w:ascii="Cambria Math" w:hAnsi="Times New Roman" w:cs="Times New Roman"/>
                  <w:sz w:val="24"/>
                  <w:lang w:val="en-US"/>
                </w:rPr>
                <m:t>=</m:t>
              </m:r>
              <m:sSub>
                <m:sSubPr>
                  <m:ctrlPr>
                    <w:rPr>
                      <w:rFonts w:ascii="Cambria Math" w:hAnsi="Times New Roman" w:cs="Times New Roman"/>
                      <w:i/>
                      <w:sz w:val="24"/>
                    </w:rPr>
                  </m:ctrlPr>
                </m:sSubPr>
                <m:e>
                  <m:r>
                    <w:rPr>
                      <w:rFonts w:ascii="Cambria Math" w:hAnsi="Cambria Math" w:cs="Times New Roman"/>
                      <w:sz w:val="24"/>
                    </w:rPr>
                    <m:t>Rnn</m:t>
                  </m:r>
                </m:e>
                <m:sub>
                  <m:r>
                    <w:rPr>
                      <w:rFonts w:ascii="Cambria Math" w:hAnsi="Cambria Math" w:cs="Times New Roman"/>
                      <w:sz w:val="24"/>
                    </w:rPr>
                    <m:t>i</m:t>
                  </m:r>
                </m:sub>
              </m:sSub>
              <m:r>
                <w:rPr>
                  <w:rFonts w:ascii="Times New Roman" w:hAnsi="Times New Roman" w:cs="Times New Roman"/>
                  <w:sz w:val="24"/>
                  <w:lang w:val="en-US"/>
                </w:rPr>
                <m:t>-</m:t>
              </m:r>
              <m:r>
                <w:rPr>
                  <w:rFonts w:ascii="Cambria Math" w:hAnsi="Times New Roman" w:cs="Times New Roman"/>
                  <w:sz w:val="24"/>
                  <w:lang w:val="en-US"/>
                </w:rPr>
                <m:t>0,333</m:t>
              </m:r>
              <m:r>
                <w:rPr>
                  <w:rFonts w:ascii="Cambria Math" w:hAnsi="Cambria Math" w:cs="Times New Roman"/>
                  <w:sz w:val="24"/>
                  <w:lang w:val="en-US"/>
                </w:rPr>
                <m:t>*</m:t>
              </m:r>
              <m:f>
                <m:fPr>
                  <m:ctrlPr>
                    <w:rPr>
                      <w:rFonts w:ascii="Cambria Math" w:hAnsi="Times New Roman" w:cs="Times New Roman"/>
                      <w:i/>
                      <w:sz w:val="24"/>
                    </w:rPr>
                  </m:ctrlPr>
                </m:fPr>
                <m:num>
                  <m:sSub>
                    <m:sSubPr>
                      <m:ctrlPr>
                        <w:rPr>
                          <w:rFonts w:ascii="Cambria Math" w:hAnsi="Times New Roman" w:cs="Times New Roman"/>
                          <w:i/>
                          <w:sz w:val="24"/>
                        </w:rPr>
                      </m:ctrlPr>
                    </m:sSubPr>
                    <m:e>
                      <m:sSub>
                        <m:sSubPr>
                          <m:ctrlPr>
                            <w:rPr>
                              <w:rFonts w:ascii="Cambria Math" w:hAnsi="Times New Roman" w:cs="Times New Roman"/>
                              <w:i/>
                              <w:sz w:val="24"/>
                            </w:rPr>
                          </m:ctrlPr>
                        </m:sSubPr>
                        <m:e>
                          <m:r>
                            <w:rPr>
                              <w:rFonts w:ascii="Cambria Math" w:hAnsi="Cambria Math" w:cs="Times New Roman"/>
                              <w:sz w:val="24"/>
                            </w:rPr>
                            <m:t>F</m:t>
                          </m:r>
                        </m:e>
                        <m:sub>
                          <m:r>
                            <w:rPr>
                              <w:rFonts w:ascii="Cambria Math" w:hAnsi="Cambria Math" w:cs="Times New Roman"/>
                              <w:sz w:val="24"/>
                            </w:rPr>
                            <m:t>Rnn</m:t>
                          </m:r>
                        </m:sub>
                      </m:sSub>
                    </m:e>
                    <m:sub>
                      <m:r>
                        <w:rPr>
                          <w:rFonts w:ascii="Cambria Math" w:hAnsi="Cambria Math" w:cs="Times New Roman"/>
                          <w:sz w:val="24"/>
                        </w:rPr>
                        <m:t>i</m:t>
                      </m:r>
                    </m:sub>
                  </m:sSub>
                </m:num>
                <m:den>
                  <m:r>
                    <w:rPr>
                      <w:rFonts w:ascii="Cambria Math" w:hAnsi="Cambria Math" w:cs="Times New Roman"/>
                      <w:sz w:val="24"/>
                    </w:rPr>
                    <m:t>MAX</m:t>
                  </m:r>
                  <m:d>
                    <m:dPr>
                      <m:ctrlPr>
                        <w:rPr>
                          <w:rFonts w:ascii="Cambria Math" w:hAnsi="Times New Roman" w:cs="Times New Roman"/>
                          <w:i/>
                          <w:sz w:val="24"/>
                        </w:rPr>
                      </m:ctrlPr>
                    </m:dPr>
                    <m:e>
                      <m:sSub>
                        <m:sSubPr>
                          <m:ctrlPr>
                            <w:rPr>
                              <w:rFonts w:ascii="Cambria Math" w:hAnsi="Times New Roman" w:cs="Times New Roman"/>
                              <w:i/>
                              <w:sz w:val="24"/>
                            </w:rPr>
                          </m:ctrlPr>
                        </m:sSubPr>
                        <m:e>
                          <m:sSub>
                            <m:sSubPr>
                              <m:ctrlPr>
                                <w:rPr>
                                  <w:rFonts w:ascii="Cambria Math" w:hAnsi="Times New Roman" w:cs="Times New Roman"/>
                                  <w:i/>
                                  <w:sz w:val="24"/>
                                </w:rPr>
                              </m:ctrlPr>
                            </m:sSubPr>
                            <m:e>
                              <m:r>
                                <w:rPr>
                                  <w:rFonts w:ascii="Cambria Math" w:hAnsi="Cambria Math" w:cs="Times New Roman"/>
                                  <w:sz w:val="24"/>
                                </w:rPr>
                                <m:t>F</m:t>
                              </m:r>
                            </m:e>
                            <m:sub>
                              <m:r>
                                <w:rPr>
                                  <w:rFonts w:ascii="Cambria Math" w:hAnsi="Cambria Math" w:cs="Times New Roman"/>
                                  <w:sz w:val="24"/>
                                </w:rPr>
                                <m:t>Rnn</m:t>
                              </m:r>
                            </m:sub>
                          </m:sSub>
                        </m:e>
                        <m:sub>
                          <m:r>
                            <w:rPr>
                              <w:rFonts w:ascii="Cambria Math" w:hAnsi="Cambria Math" w:cs="Times New Roman"/>
                              <w:sz w:val="24"/>
                            </w:rPr>
                            <m:t>k</m:t>
                          </m:r>
                        </m:sub>
                      </m:sSub>
                    </m:e>
                  </m:d>
                </m:den>
              </m:f>
            </m:oMath>
            <w:r w:rsidR="00111EDC" w:rsidRPr="00AA1CD3">
              <w:rPr>
                <w:rFonts w:ascii="Times New Roman" w:hAnsi="Times New Roman" w:cs="Times New Roman"/>
                <w:sz w:val="24"/>
                <w:lang w:val="en-US"/>
              </w:rPr>
              <w:t xml:space="preserve">       </w:t>
            </w:r>
            <w:r w:rsidR="000E4965" w:rsidRPr="000E4965">
              <w:rPr>
                <w:rFonts w:ascii="Times New Roman" w:hAnsi="Times New Roman" w:cs="Times New Roman"/>
                <w:sz w:val="24"/>
                <w:lang w:val="en-US"/>
              </w:rPr>
              <w:t xml:space="preserve">                                            </w:t>
            </w:r>
            <w:r w:rsidR="00111EDC" w:rsidRPr="00AA1CD3">
              <w:rPr>
                <w:rFonts w:ascii="Times New Roman" w:hAnsi="Times New Roman" w:cs="Times New Roman"/>
                <w:sz w:val="24"/>
                <w:lang w:val="en-US"/>
              </w:rPr>
              <w:t xml:space="preserve">  (1)</w:t>
            </w:r>
          </w:p>
          <w:p w:rsidR="00812B86" w:rsidRPr="00812B86" w:rsidRDefault="00812B86" w:rsidP="00DA5564">
            <w:pPr>
              <w:spacing w:after="0" w:line="360" w:lineRule="auto"/>
              <w:jc w:val="both"/>
              <w:rPr>
                <w:rFonts w:ascii="Times New Roman" w:hAnsi="Times New Roman" w:cs="Times New Roman"/>
                <w:sz w:val="24"/>
                <w:lang w:val="en-US"/>
              </w:rPr>
            </w:pPr>
            <w:r w:rsidRPr="00812B86">
              <w:rPr>
                <w:rFonts w:ascii="Times New Roman" w:hAnsi="Times New Roman" w:cs="Times New Roman"/>
                <w:sz w:val="24"/>
                <w:lang w:val="en-US"/>
              </w:rPr>
              <w:t>At the same time, for the estimation of C (fully consistent), the numerical representation of the estimate will always be 1.0, since such an estimate has no comments (factors).</w:t>
            </w:r>
          </w:p>
          <w:p w:rsidR="003336B2" w:rsidRPr="00812B86" w:rsidRDefault="00812B86" w:rsidP="00BB350C">
            <w:pPr>
              <w:spacing w:line="360" w:lineRule="auto"/>
              <w:jc w:val="center"/>
              <w:rPr>
                <w:rFonts w:ascii="Times New Roman" w:hAnsi="Times New Roman" w:cs="Times New Roman"/>
                <w:i/>
                <w:sz w:val="28"/>
                <w:szCs w:val="28"/>
                <w:lang w:val="en-US"/>
              </w:rPr>
            </w:pPr>
            <w:r w:rsidRPr="00812B86">
              <w:rPr>
                <w:rFonts w:ascii="Times New Roman" w:hAnsi="Times New Roman" w:cs="Times New Roman"/>
                <w:sz w:val="24"/>
                <w:lang w:val="en-US"/>
              </w:rPr>
              <w:t>Graphically, the methodology for calculating estimates can be presented as shown in Figure 1.</w:t>
            </w:r>
            <w:r w:rsidR="003336B2" w:rsidRPr="003336B2">
              <w:rPr>
                <w:rFonts w:ascii="Times New Roman" w:hAnsi="Times New Roman" w:cs="Times New Roman"/>
                <w:i/>
                <w:noProof/>
                <w:sz w:val="28"/>
                <w:szCs w:val="28"/>
              </w:rPr>
              <w:lastRenderedPageBreak/>
              <w:drawing>
                <wp:inline distT="0" distB="0" distL="0" distR="0" wp14:anchorId="50F4E192" wp14:editId="5D7E7567">
                  <wp:extent cx="3070991" cy="749315"/>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3103558" cy="757261"/>
                          </a:xfrm>
                          <a:prstGeom prst="rect">
                            <a:avLst/>
                          </a:prstGeom>
                        </pic:spPr>
                      </pic:pic>
                    </a:graphicData>
                  </a:graphic>
                </wp:inline>
              </w:drawing>
            </w:r>
          </w:p>
        </w:tc>
        <w:tc>
          <w:tcPr>
            <w:tcW w:w="741" w:type="dxa"/>
            <w:shd w:val="clear" w:color="auto" w:fill="auto"/>
            <w:vAlign w:val="center"/>
          </w:tcPr>
          <w:p w:rsidR="00C71F6D" w:rsidRPr="00812B86" w:rsidRDefault="00C71F6D" w:rsidP="00DA5564">
            <w:pPr>
              <w:rPr>
                <w:sz w:val="28"/>
                <w:szCs w:val="28"/>
                <w:lang w:val="en-US"/>
              </w:rPr>
            </w:pPr>
          </w:p>
          <w:p w:rsidR="00C71F6D" w:rsidRPr="00812B86" w:rsidRDefault="00C71F6D" w:rsidP="00DA5564">
            <w:pPr>
              <w:rPr>
                <w:i/>
                <w:sz w:val="28"/>
                <w:szCs w:val="28"/>
                <w:lang w:val="en-US"/>
              </w:rPr>
            </w:pPr>
          </w:p>
        </w:tc>
      </w:tr>
    </w:tbl>
    <w:p w:rsidR="00C71F6D" w:rsidRPr="000E4965" w:rsidRDefault="000E4965" w:rsidP="00DA5564">
      <w:pPr>
        <w:spacing w:line="360" w:lineRule="auto"/>
        <w:ind w:firstLine="708"/>
        <w:jc w:val="center"/>
        <w:rPr>
          <w:rFonts w:ascii="Times New Roman" w:hAnsi="Times New Roman" w:cs="Times New Roman"/>
          <w:sz w:val="20"/>
          <w:lang w:val="en-US"/>
        </w:rPr>
      </w:pPr>
      <w:r>
        <w:rPr>
          <w:rFonts w:ascii="Times New Roman" w:hAnsi="Times New Roman" w:cs="Times New Roman"/>
          <w:sz w:val="20"/>
          <w:lang w:val="en-US"/>
        </w:rPr>
        <w:lastRenderedPageBreak/>
        <w:t>Fig</w:t>
      </w:r>
      <w:r w:rsidRPr="000E4965">
        <w:rPr>
          <w:rFonts w:ascii="Times New Roman" w:hAnsi="Times New Roman" w:cs="Times New Roman"/>
          <w:sz w:val="20"/>
          <w:lang w:val="en-US"/>
        </w:rPr>
        <w:t>.</w:t>
      </w:r>
      <w:r>
        <w:rPr>
          <w:rFonts w:ascii="Times New Roman" w:hAnsi="Times New Roman" w:cs="Times New Roman"/>
          <w:sz w:val="20"/>
          <w:lang w:val="en-US"/>
        </w:rPr>
        <w:t xml:space="preserve"> 1</w:t>
      </w:r>
      <w:r w:rsidRPr="000E4965">
        <w:rPr>
          <w:rFonts w:ascii="Times New Roman" w:hAnsi="Times New Roman" w:cs="Times New Roman"/>
          <w:sz w:val="20"/>
          <w:lang w:val="en-US"/>
        </w:rPr>
        <w:t xml:space="preserve"> </w:t>
      </w:r>
      <w:r w:rsidRPr="000E4965">
        <w:rPr>
          <w:rFonts w:ascii="Times New Roman" w:hAnsi="Times New Roman" w:cs="Times New Roman"/>
          <w:sz w:val="20"/>
          <w:szCs w:val="20"/>
          <w:lang w:val="en-US"/>
        </w:rPr>
        <w:t xml:space="preserve">— </w:t>
      </w:r>
      <w:r w:rsidRPr="00812B86">
        <w:rPr>
          <w:rFonts w:ascii="Times New Roman" w:hAnsi="Times New Roman" w:cs="Times New Roman"/>
          <w:sz w:val="20"/>
          <w:lang w:val="en-US"/>
        </w:rPr>
        <w:t>Graphic representation of calculated estimates recommendations</w:t>
      </w:r>
    </w:p>
    <w:p w:rsidR="000E4965" w:rsidRPr="000E4965" w:rsidRDefault="000E4965" w:rsidP="006E747D">
      <w:pPr>
        <w:spacing w:line="360" w:lineRule="auto"/>
        <w:jc w:val="both"/>
        <w:rPr>
          <w:rFonts w:ascii="Times New Roman" w:hAnsi="Times New Roman" w:cs="Times New Roman"/>
          <w:b/>
          <w:sz w:val="24"/>
          <w:szCs w:val="24"/>
          <w:lang w:val="en-US"/>
        </w:rPr>
      </w:pPr>
      <w:r w:rsidRPr="000E4965">
        <w:rPr>
          <w:rFonts w:ascii="Times New Roman" w:hAnsi="Times New Roman" w:cs="Times New Roman"/>
          <w:b/>
          <w:sz w:val="24"/>
          <w:szCs w:val="24"/>
          <w:lang w:val="en-US"/>
        </w:rPr>
        <w:t>Descri</w:t>
      </w:r>
      <w:r w:rsidR="006E747D">
        <w:rPr>
          <w:rFonts w:ascii="Times New Roman" w:hAnsi="Times New Roman" w:cs="Times New Roman"/>
          <w:b/>
          <w:sz w:val="24"/>
          <w:szCs w:val="24"/>
          <w:lang w:val="en-US"/>
        </w:rPr>
        <w:t xml:space="preserve">bing </w:t>
      </w:r>
      <w:r w:rsidRPr="000E4965">
        <w:rPr>
          <w:rFonts w:ascii="Times New Roman" w:hAnsi="Times New Roman" w:cs="Times New Roman"/>
          <w:b/>
          <w:sz w:val="24"/>
          <w:szCs w:val="24"/>
          <w:lang w:val="en-US"/>
        </w:rPr>
        <w:t xml:space="preserve">the algorithm of the cluster analysis of the mutual assessments of the </w:t>
      </w:r>
      <w:r w:rsidR="006E747D">
        <w:rPr>
          <w:rFonts w:ascii="Times New Roman" w:hAnsi="Times New Roman" w:cs="Times New Roman"/>
          <w:b/>
          <w:sz w:val="24"/>
          <w:szCs w:val="24"/>
          <w:lang w:val="en-US"/>
        </w:rPr>
        <w:t>FATF</w:t>
      </w:r>
      <w:r w:rsidRPr="000E4965">
        <w:rPr>
          <w:rFonts w:ascii="Times New Roman" w:hAnsi="Times New Roman" w:cs="Times New Roman"/>
          <w:b/>
          <w:sz w:val="24"/>
          <w:szCs w:val="24"/>
          <w:lang w:val="en-US"/>
        </w:rPr>
        <w:t xml:space="preserve"> countries</w:t>
      </w:r>
    </w:p>
    <w:p w:rsidR="00B2366C" w:rsidRPr="000E4965" w:rsidRDefault="00B2366C" w:rsidP="006E747D">
      <w:pPr>
        <w:spacing w:line="360" w:lineRule="auto"/>
        <w:jc w:val="both"/>
        <w:rPr>
          <w:rFonts w:ascii="Times New Roman" w:hAnsi="Times New Roman" w:cs="Times New Roman"/>
          <w:b/>
          <w:sz w:val="24"/>
          <w:szCs w:val="24"/>
          <w:lang w:val="en-US"/>
        </w:rPr>
      </w:pPr>
      <w:r w:rsidRPr="00B2366C">
        <w:rPr>
          <w:rFonts w:ascii="Times New Roman" w:hAnsi="Times New Roman" w:cs="Times New Roman"/>
          <w:sz w:val="24"/>
          <w:szCs w:val="24"/>
          <w:lang w:val="en-US"/>
        </w:rPr>
        <w:t xml:space="preserve">The tasks of this study </w:t>
      </w:r>
      <w:r w:rsidR="006E747D">
        <w:rPr>
          <w:rFonts w:ascii="Times New Roman" w:hAnsi="Times New Roman" w:cs="Times New Roman"/>
          <w:sz w:val="24"/>
          <w:szCs w:val="24"/>
          <w:lang w:val="en-US"/>
        </w:rPr>
        <w:t>to the full extent</w:t>
      </w:r>
      <w:r w:rsidRPr="00B2366C">
        <w:rPr>
          <w:rFonts w:ascii="Times New Roman" w:hAnsi="Times New Roman" w:cs="Times New Roman"/>
          <w:sz w:val="24"/>
          <w:szCs w:val="24"/>
          <w:lang w:val="en-US"/>
        </w:rPr>
        <w:t xml:space="preserve"> allow solving clustering</w:t>
      </w:r>
      <w:r w:rsidR="006E747D">
        <w:rPr>
          <w:rFonts w:ascii="Times New Roman" w:hAnsi="Times New Roman" w:cs="Times New Roman"/>
          <w:sz w:val="24"/>
          <w:szCs w:val="24"/>
          <w:lang w:val="en-US"/>
        </w:rPr>
        <w:t xml:space="preserve"> methods</w:t>
      </w:r>
      <w:r w:rsidRPr="00B2366C">
        <w:rPr>
          <w:rFonts w:ascii="Times New Roman" w:hAnsi="Times New Roman" w:cs="Times New Roman"/>
          <w:sz w:val="24"/>
          <w:szCs w:val="24"/>
          <w:lang w:val="en-US"/>
        </w:rPr>
        <w:t>. Clustering consists in dividing a set of objects into clusters according to their parameters. The difference from the classification problem lies in the fact that the number of clusters and their parameters may not be known in advance, and clustering will carry out the association of objects into clusters by the proximity of all parameters.</w:t>
      </w:r>
    </w:p>
    <w:p w:rsidR="00B2366C" w:rsidRPr="00AA1CD3" w:rsidRDefault="00B2366C" w:rsidP="00AB7258">
      <w:pPr>
        <w:spacing w:after="0" w:line="360" w:lineRule="auto"/>
        <w:jc w:val="both"/>
        <w:rPr>
          <w:rFonts w:ascii="Times New Roman" w:hAnsi="Times New Roman" w:cs="Times New Roman"/>
          <w:sz w:val="24"/>
          <w:szCs w:val="24"/>
          <w:lang w:val="en-US"/>
        </w:rPr>
      </w:pPr>
      <w:r w:rsidRPr="00B2366C">
        <w:rPr>
          <w:rFonts w:ascii="Times New Roman" w:hAnsi="Times New Roman" w:cs="Times New Roman"/>
          <w:sz w:val="24"/>
          <w:szCs w:val="24"/>
          <w:lang w:val="en-US"/>
        </w:rPr>
        <w:t>The Analysis Services clustering algorithm uses iterative methods, during which it determines the relationships between objects, and then clustering. The Analysis Services clustering algorithm (Microsoft Clustering) is implemented by two clustering algorithms: K-means (hard clustering) and maximization of expectations (soft clustering)</w:t>
      </w:r>
      <w:r w:rsidR="00880BDE">
        <w:rPr>
          <w:rFonts w:ascii="Times New Roman" w:hAnsi="Times New Roman" w:cs="Times New Roman"/>
          <w:sz w:val="24"/>
          <w:szCs w:val="24"/>
          <w:lang w:val="en-US"/>
        </w:rPr>
        <w:t xml:space="preserve"> [11]</w:t>
      </w:r>
      <w:r w:rsidRPr="00B2366C">
        <w:rPr>
          <w:rFonts w:ascii="Times New Roman" w:hAnsi="Times New Roman" w:cs="Times New Roman"/>
          <w:sz w:val="24"/>
          <w:szCs w:val="24"/>
          <w:lang w:val="en-US"/>
        </w:rPr>
        <w:t xml:space="preserve">. With hard clustering, </w:t>
      </w:r>
      <w:r w:rsidR="00AB7258">
        <w:rPr>
          <w:rFonts w:ascii="Times New Roman" w:hAnsi="Times New Roman" w:cs="Times New Roman"/>
          <w:sz w:val="24"/>
          <w:szCs w:val="24"/>
          <w:lang w:val="en-US"/>
        </w:rPr>
        <w:t>an</w:t>
      </w:r>
      <w:r w:rsidRPr="00B2366C">
        <w:rPr>
          <w:rFonts w:ascii="Times New Roman" w:hAnsi="Times New Roman" w:cs="Times New Roman"/>
          <w:sz w:val="24"/>
          <w:szCs w:val="24"/>
          <w:lang w:val="en-US"/>
        </w:rPr>
        <w:t xml:space="preserve"> element can belong to only one cluster. With soft clustering, an element can belong to several clusters, and for all possible variants of elements with clusters, probabilities are calculated.</w:t>
      </w:r>
    </w:p>
    <w:p w:rsidR="00DA5564" w:rsidRPr="00DA5564" w:rsidRDefault="00B2366C" w:rsidP="00DA5564">
      <w:pPr>
        <w:spacing w:line="360" w:lineRule="auto"/>
        <w:jc w:val="both"/>
        <w:rPr>
          <w:rFonts w:ascii="Times New Roman" w:hAnsi="Times New Roman" w:cs="Times New Roman"/>
          <w:sz w:val="24"/>
          <w:szCs w:val="24"/>
          <w:lang w:val="en-US"/>
        </w:rPr>
      </w:pPr>
      <w:r w:rsidRPr="00B2366C">
        <w:rPr>
          <w:rFonts w:ascii="Times New Roman" w:hAnsi="Times New Roman" w:cs="Times New Roman"/>
          <w:sz w:val="24"/>
          <w:szCs w:val="24"/>
          <w:lang w:val="en-US"/>
        </w:rPr>
        <w:t>In the method of maximizing expectations, the algorithm in each iteration refines the initial model and determines the probabilities of the point belonging to clusters. In the case of empty clusters or clusters with the number of elements below the threshold value, the algorithm is started again and a new filling of the little filled clusters takes place. Since the method of maximizing expectations is an algorithm of soft clustering, the number of elements in clusters can be greater than the number of elements in the sample. Assessments of technical compliance and performance evaluation have been clustered separately for more correct analysis.</w:t>
      </w:r>
    </w:p>
    <w:p w:rsidR="00BC2FE3" w:rsidRPr="000E4965" w:rsidRDefault="000E4965" w:rsidP="00DA5564">
      <w:pPr>
        <w:spacing w:line="360" w:lineRule="auto"/>
        <w:rPr>
          <w:rFonts w:ascii="Times New Roman" w:hAnsi="Times New Roman" w:cs="Times New Roman"/>
          <w:b/>
          <w:sz w:val="24"/>
          <w:szCs w:val="24"/>
          <w:shd w:val="clear" w:color="auto" w:fill="FFFFFF"/>
          <w:lang w:val="en-US"/>
        </w:rPr>
      </w:pPr>
      <w:r w:rsidRPr="000E4965">
        <w:rPr>
          <w:rFonts w:ascii="Times New Roman" w:hAnsi="Times New Roman" w:cs="Times New Roman"/>
          <w:b/>
          <w:sz w:val="24"/>
          <w:szCs w:val="24"/>
          <w:shd w:val="clear" w:color="auto" w:fill="FFFFFF"/>
          <w:lang w:val="en-US"/>
        </w:rPr>
        <w:t>Results of the</w:t>
      </w:r>
      <w:r w:rsidR="00BC2FE3" w:rsidRPr="000E4965">
        <w:rPr>
          <w:rFonts w:ascii="Times New Roman" w:hAnsi="Times New Roman" w:cs="Times New Roman"/>
          <w:b/>
          <w:sz w:val="32"/>
          <w:szCs w:val="24"/>
          <w:shd w:val="clear" w:color="auto" w:fill="FFFFFF"/>
          <w:lang w:val="en-US"/>
        </w:rPr>
        <w:t xml:space="preserve"> </w:t>
      </w:r>
      <w:r w:rsidRPr="000E4965">
        <w:rPr>
          <w:rFonts w:ascii="Times New Roman" w:hAnsi="Times New Roman" w:cs="Times New Roman"/>
          <w:b/>
          <w:sz w:val="24"/>
          <w:szCs w:val="20"/>
          <w:shd w:val="clear" w:color="auto" w:fill="FFFFFF"/>
          <w:lang w:val="en-US"/>
        </w:rPr>
        <w:t>survey</w:t>
      </w:r>
    </w:p>
    <w:p w:rsidR="00BC2FE3" w:rsidRPr="00AA1CD3" w:rsidRDefault="00BC2FE3" w:rsidP="00AB7258">
      <w:pPr>
        <w:spacing w:line="360" w:lineRule="auto"/>
        <w:jc w:val="both"/>
        <w:rPr>
          <w:rFonts w:ascii="Times New Roman" w:hAnsi="Times New Roman" w:cs="Times New Roman"/>
          <w:sz w:val="24"/>
          <w:szCs w:val="24"/>
          <w:shd w:val="clear" w:color="auto" w:fill="FFFFFF"/>
          <w:lang w:val="en-US"/>
        </w:rPr>
      </w:pPr>
      <w:r w:rsidRPr="00BC2FE3">
        <w:rPr>
          <w:rFonts w:ascii="Times New Roman" w:hAnsi="Times New Roman" w:cs="Times New Roman"/>
          <w:sz w:val="24"/>
          <w:szCs w:val="24"/>
          <w:shd w:val="clear" w:color="auto" w:fill="FFFFFF"/>
          <w:lang w:val="en-US"/>
        </w:rPr>
        <w:t>Figure 2</w:t>
      </w:r>
      <w:r w:rsidR="00AB7258">
        <w:rPr>
          <w:rFonts w:ascii="Times New Roman" w:hAnsi="Times New Roman" w:cs="Times New Roman"/>
          <w:sz w:val="24"/>
          <w:szCs w:val="24"/>
          <w:shd w:val="clear" w:color="auto" w:fill="FFFFFF"/>
          <w:lang w:val="en-US"/>
        </w:rPr>
        <w:t xml:space="preserve"> shows</w:t>
      </w:r>
      <w:r w:rsidRPr="00BC2FE3">
        <w:rPr>
          <w:rFonts w:ascii="Times New Roman" w:hAnsi="Times New Roman" w:cs="Times New Roman"/>
          <w:sz w:val="24"/>
          <w:szCs w:val="24"/>
          <w:shd w:val="clear" w:color="auto" w:fill="FFFFFF"/>
          <w:lang w:val="en-US"/>
        </w:rPr>
        <w:t xml:space="preserve"> the level of distribution of countries across clusters by the method of maximizing expectations. </w:t>
      </w:r>
      <w:r w:rsidR="00AB7258">
        <w:rPr>
          <w:rFonts w:ascii="Times New Roman" w:hAnsi="Times New Roman" w:cs="Times New Roman"/>
          <w:sz w:val="24"/>
          <w:szCs w:val="24"/>
          <w:shd w:val="clear" w:color="auto" w:fill="FFFFFF"/>
          <w:lang w:val="en-US"/>
        </w:rPr>
        <w:t>The</w:t>
      </w:r>
      <w:r w:rsidRPr="00BC2FE3">
        <w:rPr>
          <w:rFonts w:ascii="Times New Roman" w:hAnsi="Times New Roman" w:cs="Times New Roman"/>
          <w:sz w:val="24"/>
          <w:szCs w:val="24"/>
          <w:shd w:val="clear" w:color="auto" w:fill="FFFFFF"/>
          <w:lang w:val="en-US"/>
        </w:rPr>
        <w:t xml:space="preserve"> figure</w:t>
      </w:r>
      <w:r w:rsidR="00AB7258">
        <w:rPr>
          <w:rFonts w:ascii="Times New Roman" w:hAnsi="Times New Roman" w:cs="Times New Roman"/>
          <w:sz w:val="24"/>
          <w:szCs w:val="24"/>
          <w:shd w:val="clear" w:color="auto" w:fill="FFFFFF"/>
          <w:lang w:val="en-US"/>
        </w:rPr>
        <w:t xml:space="preserve"> illustrates the interception graph of the cluster elements for evaluating technical compliance and efficiency</w:t>
      </w:r>
      <w:r w:rsidRPr="00BC2FE3">
        <w:rPr>
          <w:rFonts w:ascii="Times New Roman" w:hAnsi="Times New Roman" w:cs="Times New Roman"/>
          <w:sz w:val="24"/>
          <w:szCs w:val="24"/>
          <w:shd w:val="clear" w:color="auto" w:fill="FFFFFF"/>
          <w:lang w:val="en-US"/>
        </w:rPr>
        <w:t xml:space="preserve">, </w:t>
      </w:r>
      <w:r w:rsidR="00AB7258">
        <w:rPr>
          <w:rFonts w:ascii="Times New Roman" w:hAnsi="Times New Roman" w:cs="Times New Roman"/>
          <w:sz w:val="24"/>
          <w:szCs w:val="24"/>
          <w:shd w:val="clear" w:color="auto" w:fill="FFFFFF"/>
          <w:lang w:val="en-US"/>
        </w:rPr>
        <w:t xml:space="preserve">where </w:t>
      </w:r>
      <w:r w:rsidRPr="00BC2FE3">
        <w:rPr>
          <w:rFonts w:ascii="Times New Roman" w:hAnsi="Times New Roman" w:cs="Times New Roman"/>
          <w:sz w:val="24"/>
          <w:szCs w:val="24"/>
          <w:shd w:val="clear" w:color="auto" w:fill="FFFFFF"/>
          <w:lang w:val="en-US"/>
        </w:rPr>
        <w:t xml:space="preserve">1R, 2R and 3R clusters </w:t>
      </w:r>
      <w:r w:rsidR="00AB7258">
        <w:rPr>
          <w:rFonts w:ascii="Times New Roman" w:hAnsi="Times New Roman" w:cs="Times New Roman"/>
          <w:sz w:val="24"/>
          <w:szCs w:val="24"/>
          <w:shd w:val="clear" w:color="auto" w:fill="FFFFFF"/>
          <w:lang w:val="en-US"/>
        </w:rPr>
        <w:t xml:space="preserve">for </w:t>
      </w:r>
      <w:r w:rsidRPr="00BC2FE3">
        <w:rPr>
          <w:rFonts w:ascii="Times New Roman" w:hAnsi="Times New Roman" w:cs="Times New Roman"/>
          <w:sz w:val="24"/>
          <w:szCs w:val="24"/>
          <w:shd w:val="clear" w:color="auto" w:fill="FFFFFF"/>
          <w:lang w:val="en-US"/>
        </w:rPr>
        <w:t>1, 2 and 3 of the evaluation of Recommendations</w:t>
      </w:r>
      <w:r w:rsidR="00AB7258" w:rsidRPr="00AB7258">
        <w:rPr>
          <w:rFonts w:ascii="Times New Roman" w:hAnsi="Times New Roman" w:cs="Times New Roman"/>
          <w:sz w:val="24"/>
          <w:szCs w:val="24"/>
          <w:shd w:val="clear" w:color="auto" w:fill="FFFFFF"/>
          <w:lang w:val="en-US"/>
        </w:rPr>
        <w:t xml:space="preserve"> </w:t>
      </w:r>
      <w:r w:rsidR="00AB7258" w:rsidRPr="00BC2FE3">
        <w:rPr>
          <w:rFonts w:ascii="Times New Roman" w:hAnsi="Times New Roman" w:cs="Times New Roman"/>
          <w:sz w:val="24"/>
          <w:szCs w:val="24"/>
          <w:shd w:val="clear" w:color="auto" w:fill="FFFFFF"/>
          <w:lang w:val="en-US"/>
        </w:rPr>
        <w:t>respectively</w:t>
      </w:r>
      <w:r w:rsidRPr="00BC2FE3">
        <w:rPr>
          <w:rFonts w:ascii="Times New Roman" w:hAnsi="Times New Roman" w:cs="Times New Roman"/>
          <w:sz w:val="24"/>
          <w:szCs w:val="24"/>
          <w:shd w:val="clear" w:color="auto" w:fill="FFFFFF"/>
          <w:lang w:val="en-US"/>
        </w:rPr>
        <w:t xml:space="preserve">, and 1E, 2E and 3E </w:t>
      </w:r>
      <w:r w:rsidR="00AB7258">
        <w:rPr>
          <w:rFonts w:ascii="Times New Roman" w:hAnsi="Times New Roman" w:cs="Times New Roman"/>
          <w:sz w:val="24"/>
          <w:szCs w:val="24"/>
          <w:shd w:val="clear" w:color="auto" w:fill="FFFFFF"/>
          <w:lang w:val="en-US"/>
        </w:rPr>
        <w:t xml:space="preserve">are </w:t>
      </w:r>
      <w:r w:rsidRPr="00BC2FE3">
        <w:rPr>
          <w:rFonts w:ascii="Times New Roman" w:hAnsi="Times New Roman" w:cs="Times New Roman"/>
          <w:sz w:val="24"/>
          <w:szCs w:val="24"/>
          <w:shd w:val="clear" w:color="auto" w:fill="FFFFFF"/>
          <w:lang w:val="en-US"/>
        </w:rPr>
        <w:t>clusters</w:t>
      </w:r>
      <w:r w:rsidR="00AB7258">
        <w:rPr>
          <w:rFonts w:ascii="Times New Roman" w:hAnsi="Times New Roman" w:cs="Times New Roman"/>
          <w:sz w:val="24"/>
          <w:szCs w:val="24"/>
          <w:shd w:val="clear" w:color="auto" w:fill="FFFFFF"/>
          <w:lang w:val="en-US"/>
        </w:rPr>
        <w:t xml:space="preserve"> for</w:t>
      </w:r>
      <w:r w:rsidRPr="00BC2FE3">
        <w:rPr>
          <w:rFonts w:ascii="Times New Roman" w:hAnsi="Times New Roman" w:cs="Times New Roman"/>
          <w:sz w:val="24"/>
          <w:szCs w:val="24"/>
          <w:shd w:val="clear" w:color="auto" w:fill="FFFFFF"/>
          <w:lang w:val="en-US"/>
        </w:rPr>
        <w:t xml:space="preserve"> 1, 2 and 3 of the evaluation Efficiency.</w:t>
      </w:r>
    </w:p>
    <w:p w:rsidR="00D7087F" w:rsidRPr="00BC2FE3" w:rsidRDefault="00C3755D" w:rsidP="000E4965">
      <w:pPr>
        <w:spacing w:line="360" w:lineRule="auto"/>
        <w:ind w:left="426"/>
        <w:jc w:val="center"/>
        <w:rPr>
          <w:rFonts w:ascii="Times New Roman" w:hAnsi="Times New Roman" w:cs="Times New Roman"/>
          <w:sz w:val="24"/>
          <w:szCs w:val="24"/>
          <w:lang w:val="en-US"/>
        </w:rPr>
      </w:pPr>
      <w:r w:rsidRPr="00C3755D">
        <w:rPr>
          <w:rFonts w:ascii="Times New Roman" w:hAnsi="Times New Roman" w:cs="Times New Roman"/>
          <w:noProof/>
          <w:sz w:val="24"/>
          <w:szCs w:val="24"/>
        </w:rPr>
        <w:lastRenderedPageBreak/>
        <w:drawing>
          <wp:inline distT="0" distB="0" distL="0" distR="0" wp14:anchorId="724C0E6A" wp14:editId="6AD1EF44">
            <wp:extent cx="3360717" cy="2958469"/>
            <wp:effectExtent l="0" t="0" r="0" b="0"/>
            <wp:docPr id="7"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376814" cy="2972640"/>
                    </a:xfrm>
                    <a:prstGeom prst="rect">
                      <a:avLst/>
                    </a:prstGeom>
                  </pic:spPr>
                </pic:pic>
              </a:graphicData>
            </a:graphic>
          </wp:inline>
        </w:drawing>
      </w:r>
    </w:p>
    <w:p w:rsidR="00C3755D" w:rsidRPr="00AA1CD3" w:rsidRDefault="000E4965" w:rsidP="000E4965">
      <w:pPr>
        <w:ind w:left="426"/>
        <w:jc w:val="center"/>
        <w:rPr>
          <w:rFonts w:ascii="Times New Roman" w:hAnsi="Times New Roman" w:cs="Times New Roman"/>
          <w:sz w:val="20"/>
          <w:szCs w:val="24"/>
          <w:lang w:val="en-US"/>
        </w:rPr>
      </w:pPr>
      <w:r>
        <w:rPr>
          <w:rFonts w:ascii="Times New Roman" w:hAnsi="Times New Roman" w:cs="Times New Roman"/>
          <w:sz w:val="20"/>
          <w:szCs w:val="24"/>
          <w:lang w:val="en-US"/>
        </w:rPr>
        <w:t>Figure 2</w:t>
      </w:r>
      <w:r w:rsidRPr="000E4965">
        <w:rPr>
          <w:rFonts w:ascii="Times New Roman" w:hAnsi="Times New Roman" w:cs="Times New Roman"/>
          <w:sz w:val="20"/>
          <w:szCs w:val="24"/>
          <w:lang w:val="en-US"/>
        </w:rPr>
        <w:t xml:space="preserve"> </w:t>
      </w:r>
      <w:r w:rsidRPr="000E4965">
        <w:rPr>
          <w:rFonts w:ascii="Times New Roman" w:hAnsi="Times New Roman" w:cs="Times New Roman"/>
          <w:sz w:val="20"/>
          <w:szCs w:val="20"/>
          <w:lang w:val="en-US"/>
        </w:rPr>
        <w:t xml:space="preserve">— </w:t>
      </w:r>
      <w:r w:rsidRPr="00C3755D">
        <w:rPr>
          <w:rFonts w:ascii="Times New Roman" w:hAnsi="Times New Roman" w:cs="Times New Roman"/>
          <w:sz w:val="20"/>
          <w:szCs w:val="24"/>
          <w:lang w:val="en-US"/>
        </w:rPr>
        <w:t>Distribution of country clusters by the k-middle method</w:t>
      </w:r>
    </w:p>
    <w:p w:rsidR="000E4965" w:rsidRPr="000E4965" w:rsidRDefault="00092A59" w:rsidP="00AB7258">
      <w:pPr>
        <w:tabs>
          <w:tab w:val="left" w:pos="284"/>
        </w:tabs>
        <w:jc w:val="both"/>
        <w:rPr>
          <w:rFonts w:ascii="Times New Roman" w:hAnsi="Times New Roman" w:cs="Times New Roman"/>
          <w:sz w:val="24"/>
          <w:lang w:val="en-US"/>
        </w:rPr>
      </w:pPr>
      <w:r w:rsidRPr="00092A59">
        <w:rPr>
          <w:rFonts w:ascii="Times New Roman" w:hAnsi="Times New Roman" w:cs="Times New Roman"/>
          <w:sz w:val="24"/>
          <w:lang w:val="en-US"/>
        </w:rPr>
        <w:t xml:space="preserve">Below are tables 3-5 </w:t>
      </w:r>
      <w:r w:rsidR="00AB7258">
        <w:rPr>
          <w:rFonts w:ascii="Times New Roman" w:hAnsi="Times New Roman" w:cs="Times New Roman"/>
          <w:sz w:val="24"/>
          <w:lang w:val="en-US"/>
        </w:rPr>
        <w:t xml:space="preserve">of the </w:t>
      </w:r>
      <w:r w:rsidRPr="00092A59">
        <w:rPr>
          <w:rFonts w:ascii="Times New Roman" w:hAnsi="Times New Roman" w:cs="Times New Roman"/>
          <w:sz w:val="24"/>
          <w:lang w:val="en-US"/>
        </w:rPr>
        <w:t>most typical values of parameters for clusters with indication of their probability.</w:t>
      </w:r>
    </w:p>
    <w:p w:rsidR="000E4965" w:rsidRDefault="000E4965" w:rsidP="000E4965">
      <w:pPr>
        <w:ind w:left="426"/>
        <w:jc w:val="center"/>
        <w:rPr>
          <w:rFonts w:ascii="Times New Roman" w:hAnsi="Times New Roman" w:cs="Times New Roman"/>
          <w:sz w:val="24"/>
          <w:lang w:val="en-US"/>
        </w:rPr>
        <w:sectPr w:rsidR="000E4965" w:rsidSect="000E4965">
          <w:type w:val="continuous"/>
          <w:pgSz w:w="12240" w:h="15840"/>
          <w:pgMar w:top="1134" w:right="1134" w:bottom="1134" w:left="1134" w:header="709" w:footer="709" w:gutter="0"/>
          <w:cols w:space="357"/>
          <w:docGrid w:linePitch="299"/>
        </w:sectPr>
      </w:pPr>
    </w:p>
    <w:p w:rsidR="00026660" w:rsidRPr="000E4965" w:rsidRDefault="000E4965" w:rsidP="000E4965">
      <w:pPr>
        <w:jc w:val="center"/>
        <w:rPr>
          <w:rFonts w:ascii="Times New Roman" w:hAnsi="Times New Roman" w:cs="Times New Roman"/>
          <w:sz w:val="20"/>
          <w:szCs w:val="20"/>
          <w:lang w:val="en-US"/>
        </w:rPr>
      </w:pPr>
      <w:r w:rsidRPr="000E4965">
        <w:rPr>
          <w:rFonts w:ascii="Times New Roman" w:hAnsi="Times New Roman" w:cs="Times New Roman"/>
          <w:sz w:val="20"/>
          <w:szCs w:val="20"/>
          <w:lang w:val="en-US"/>
        </w:rPr>
        <w:lastRenderedPageBreak/>
        <w:t>Table 3 — Most typical values of cluster 1 parameters</w:t>
      </w:r>
    </w:p>
    <w:tbl>
      <w:tblPr>
        <w:tblW w:w="4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1240"/>
        <w:gridCol w:w="1540"/>
      </w:tblGrid>
      <w:tr w:rsidR="00CF6288" w:rsidRPr="00026660" w:rsidTr="00185890">
        <w:trPr>
          <w:trHeight w:val="300"/>
          <w:jc w:val="center"/>
        </w:trPr>
        <w:tc>
          <w:tcPr>
            <w:tcW w:w="1640" w:type="dxa"/>
            <w:shd w:val="clear" w:color="auto" w:fill="auto"/>
            <w:noWrap/>
            <w:vAlign w:val="bottom"/>
            <w:hideMark/>
          </w:tcPr>
          <w:p w:rsidR="00CF6288" w:rsidRPr="00026660" w:rsidRDefault="00CF6288" w:rsidP="000E4965">
            <w:pPr>
              <w:ind w:left="426"/>
              <w:jc w:val="center"/>
              <w:rPr>
                <w:rFonts w:ascii="Times New Roman" w:hAnsi="Times New Roman" w:cs="Times New Roman"/>
                <w:sz w:val="20"/>
                <w:szCs w:val="20"/>
              </w:rPr>
            </w:pPr>
            <w:r w:rsidRPr="00092A59">
              <w:rPr>
                <w:rFonts w:ascii="Times New Roman" w:hAnsi="Times New Roman" w:cs="Times New Roman"/>
                <w:sz w:val="20"/>
                <w:szCs w:val="20"/>
              </w:rPr>
              <w:t>Variables</w:t>
            </w:r>
          </w:p>
        </w:tc>
        <w:tc>
          <w:tcPr>
            <w:tcW w:w="1240" w:type="dxa"/>
            <w:shd w:val="clear" w:color="auto" w:fill="auto"/>
            <w:noWrap/>
            <w:vAlign w:val="bottom"/>
            <w:hideMark/>
          </w:tcPr>
          <w:p w:rsidR="00CF6288" w:rsidRPr="00026660" w:rsidRDefault="00CF6288" w:rsidP="000E4965">
            <w:pPr>
              <w:ind w:left="426"/>
              <w:jc w:val="center"/>
              <w:rPr>
                <w:rFonts w:ascii="Times New Roman" w:hAnsi="Times New Roman" w:cs="Times New Roman"/>
                <w:sz w:val="20"/>
                <w:szCs w:val="20"/>
              </w:rPr>
            </w:pPr>
            <w:r w:rsidRPr="00092A59">
              <w:rPr>
                <w:rFonts w:ascii="Times New Roman" w:hAnsi="Times New Roman" w:cs="Times New Roman"/>
                <w:sz w:val="20"/>
                <w:szCs w:val="20"/>
              </w:rPr>
              <w:t>Values</w:t>
            </w:r>
          </w:p>
        </w:tc>
        <w:tc>
          <w:tcPr>
            <w:tcW w:w="1540" w:type="dxa"/>
            <w:shd w:val="clear" w:color="auto" w:fill="auto"/>
            <w:noWrap/>
            <w:vAlign w:val="bottom"/>
            <w:hideMark/>
          </w:tcPr>
          <w:p w:rsidR="00CF6288" w:rsidRPr="00026660" w:rsidRDefault="00CF6288" w:rsidP="000E4965">
            <w:pPr>
              <w:ind w:left="426"/>
              <w:jc w:val="center"/>
              <w:rPr>
                <w:rFonts w:ascii="Times New Roman" w:hAnsi="Times New Roman" w:cs="Times New Roman"/>
                <w:sz w:val="20"/>
                <w:szCs w:val="20"/>
              </w:rPr>
            </w:pPr>
            <w:r w:rsidRPr="00092A59">
              <w:rPr>
                <w:rFonts w:ascii="Times New Roman" w:hAnsi="Times New Roman" w:cs="Times New Roman"/>
                <w:sz w:val="20"/>
                <w:szCs w:val="20"/>
              </w:rPr>
              <w:t>Probability</w:t>
            </w:r>
          </w:p>
        </w:tc>
      </w:tr>
      <w:tr w:rsidR="00CF6288" w:rsidRPr="00026660" w:rsidTr="00185890">
        <w:trPr>
          <w:trHeight w:val="300"/>
          <w:jc w:val="center"/>
        </w:trPr>
        <w:tc>
          <w:tcPr>
            <w:tcW w:w="1640" w:type="dxa"/>
            <w:shd w:val="clear" w:color="auto" w:fill="auto"/>
            <w:noWrap/>
            <w:vAlign w:val="bottom"/>
          </w:tcPr>
          <w:p w:rsidR="00CF6288" w:rsidRPr="00026660" w:rsidRDefault="00CF6288"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C_E4</w:t>
            </w:r>
          </w:p>
        </w:tc>
        <w:tc>
          <w:tcPr>
            <w:tcW w:w="1240" w:type="dxa"/>
            <w:shd w:val="clear" w:color="auto" w:fill="auto"/>
            <w:noWrap/>
            <w:vAlign w:val="bottom"/>
          </w:tcPr>
          <w:p w:rsidR="00CF6288" w:rsidRPr="00026660" w:rsidRDefault="00CF6288"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0,333</w:t>
            </w:r>
          </w:p>
        </w:tc>
        <w:tc>
          <w:tcPr>
            <w:tcW w:w="1540" w:type="dxa"/>
            <w:shd w:val="clear" w:color="auto" w:fill="auto"/>
            <w:noWrap/>
            <w:vAlign w:val="bottom"/>
          </w:tcPr>
          <w:p w:rsidR="00CF6288" w:rsidRPr="00026660" w:rsidRDefault="00CF6288"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100 %</w:t>
            </w:r>
          </w:p>
        </w:tc>
      </w:tr>
      <w:tr w:rsidR="00CF6288" w:rsidRPr="00026660" w:rsidTr="00185890">
        <w:trPr>
          <w:trHeight w:val="300"/>
          <w:jc w:val="center"/>
        </w:trPr>
        <w:tc>
          <w:tcPr>
            <w:tcW w:w="1640" w:type="dxa"/>
            <w:shd w:val="clear" w:color="auto" w:fill="auto"/>
            <w:noWrap/>
            <w:vAlign w:val="bottom"/>
          </w:tcPr>
          <w:p w:rsidR="00CF6288" w:rsidRPr="00026660" w:rsidRDefault="00CF6288"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C_E6</w:t>
            </w:r>
          </w:p>
        </w:tc>
        <w:tc>
          <w:tcPr>
            <w:tcW w:w="1240" w:type="dxa"/>
            <w:shd w:val="clear" w:color="auto" w:fill="auto"/>
            <w:noWrap/>
            <w:vAlign w:val="bottom"/>
          </w:tcPr>
          <w:p w:rsidR="00CF6288" w:rsidRPr="00026660" w:rsidRDefault="00CF6288"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0,666</w:t>
            </w:r>
          </w:p>
        </w:tc>
        <w:tc>
          <w:tcPr>
            <w:tcW w:w="1540" w:type="dxa"/>
            <w:shd w:val="clear" w:color="auto" w:fill="auto"/>
            <w:noWrap/>
            <w:vAlign w:val="bottom"/>
          </w:tcPr>
          <w:p w:rsidR="00CF6288" w:rsidRPr="00026660" w:rsidRDefault="00CF6288"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88 %</w:t>
            </w:r>
          </w:p>
        </w:tc>
      </w:tr>
      <w:tr w:rsidR="00CF6288" w:rsidRPr="00026660" w:rsidTr="00185890">
        <w:trPr>
          <w:trHeight w:val="300"/>
          <w:jc w:val="center"/>
        </w:trPr>
        <w:tc>
          <w:tcPr>
            <w:tcW w:w="1640" w:type="dxa"/>
            <w:shd w:val="clear" w:color="auto" w:fill="auto"/>
            <w:noWrap/>
            <w:vAlign w:val="bottom"/>
          </w:tcPr>
          <w:p w:rsidR="00CF6288" w:rsidRPr="00026660" w:rsidRDefault="00CF6288"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C_E1</w:t>
            </w:r>
          </w:p>
        </w:tc>
        <w:tc>
          <w:tcPr>
            <w:tcW w:w="1240" w:type="dxa"/>
            <w:shd w:val="clear" w:color="auto" w:fill="auto"/>
            <w:noWrap/>
            <w:vAlign w:val="bottom"/>
          </w:tcPr>
          <w:p w:rsidR="00CF6288" w:rsidRPr="00026660" w:rsidRDefault="00CF6288"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0,666</w:t>
            </w:r>
          </w:p>
        </w:tc>
        <w:tc>
          <w:tcPr>
            <w:tcW w:w="1540" w:type="dxa"/>
            <w:shd w:val="clear" w:color="auto" w:fill="auto"/>
            <w:noWrap/>
            <w:vAlign w:val="bottom"/>
          </w:tcPr>
          <w:p w:rsidR="00CF6288" w:rsidRPr="00026660" w:rsidRDefault="00CF6288"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75 %</w:t>
            </w:r>
          </w:p>
        </w:tc>
      </w:tr>
      <w:tr w:rsidR="00CF6288" w:rsidRPr="00026660" w:rsidTr="00185890">
        <w:trPr>
          <w:trHeight w:val="300"/>
          <w:jc w:val="center"/>
        </w:trPr>
        <w:tc>
          <w:tcPr>
            <w:tcW w:w="1640" w:type="dxa"/>
            <w:shd w:val="clear" w:color="auto" w:fill="auto"/>
            <w:noWrap/>
            <w:vAlign w:val="bottom"/>
          </w:tcPr>
          <w:p w:rsidR="00CF6288" w:rsidRPr="00026660" w:rsidRDefault="00CF6288"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C_E3</w:t>
            </w:r>
          </w:p>
        </w:tc>
        <w:tc>
          <w:tcPr>
            <w:tcW w:w="1240" w:type="dxa"/>
            <w:shd w:val="clear" w:color="auto" w:fill="auto"/>
            <w:noWrap/>
            <w:vAlign w:val="bottom"/>
          </w:tcPr>
          <w:p w:rsidR="00CF6288" w:rsidRPr="00026660" w:rsidRDefault="00CF6288"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0,333</w:t>
            </w:r>
          </w:p>
        </w:tc>
        <w:tc>
          <w:tcPr>
            <w:tcW w:w="1540" w:type="dxa"/>
            <w:shd w:val="clear" w:color="auto" w:fill="auto"/>
            <w:noWrap/>
            <w:vAlign w:val="bottom"/>
          </w:tcPr>
          <w:p w:rsidR="00CF6288" w:rsidRPr="00026660" w:rsidRDefault="00CF6288"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75 %</w:t>
            </w:r>
          </w:p>
        </w:tc>
      </w:tr>
      <w:tr w:rsidR="00CF6288" w:rsidRPr="00026660" w:rsidTr="00185890">
        <w:trPr>
          <w:trHeight w:val="300"/>
          <w:jc w:val="center"/>
        </w:trPr>
        <w:tc>
          <w:tcPr>
            <w:tcW w:w="1640" w:type="dxa"/>
            <w:shd w:val="clear" w:color="auto" w:fill="auto"/>
            <w:noWrap/>
            <w:vAlign w:val="bottom"/>
          </w:tcPr>
          <w:p w:rsidR="00CF6288" w:rsidRPr="00026660" w:rsidRDefault="00CF6288"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C_E5</w:t>
            </w:r>
          </w:p>
        </w:tc>
        <w:tc>
          <w:tcPr>
            <w:tcW w:w="1240" w:type="dxa"/>
            <w:shd w:val="clear" w:color="auto" w:fill="auto"/>
            <w:noWrap/>
            <w:vAlign w:val="bottom"/>
          </w:tcPr>
          <w:p w:rsidR="00CF6288" w:rsidRPr="00026660" w:rsidRDefault="00CF6288"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0,333</w:t>
            </w:r>
          </w:p>
        </w:tc>
        <w:tc>
          <w:tcPr>
            <w:tcW w:w="1540" w:type="dxa"/>
            <w:shd w:val="clear" w:color="auto" w:fill="auto"/>
            <w:noWrap/>
            <w:vAlign w:val="bottom"/>
          </w:tcPr>
          <w:p w:rsidR="00CF6288" w:rsidRPr="00026660" w:rsidRDefault="00CF6288"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63 %</w:t>
            </w:r>
          </w:p>
        </w:tc>
      </w:tr>
      <w:tr w:rsidR="00CF6288" w:rsidRPr="00026660" w:rsidTr="00185890">
        <w:trPr>
          <w:trHeight w:val="300"/>
          <w:jc w:val="center"/>
        </w:trPr>
        <w:tc>
          <w:tcPr>
            <w:tcW w:w="1640" w:type="dxa"/>
            <w:shd w:val="clear" w:color="auto" w:fill="auto"/>
            <w:noWrap/>
            <w:vAlign w:val="bottom"/>
          </w:tcPr>
          <w:p w:rsidR="00CF6288" w:rsidRPr="00026660" w:rsidRDefault="00CF6288"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C_E9</w:t>
            </w:r>
          </w:p>
        </w:tc>
        <w:tc>
          <w:tcPr>
            <w:tcW w:w="1240" w:type="dxa"/>
            <w:shd w:val="clear" w:color="auto" w:fill="auto"/>
            <w:noWrap/>
            <w:vAlign w:val="bottom"/>
          </w:tcPr>
          <w:p w:rsidR="00CF6288" w:rsidRPr="00026660" w:rsidRDefault="00CF6288"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0,666</w:t>
            </w:r>
          </w:p>
        </w:tc>
        <w:tc>
          <w:tcPr>
            <w:tcW w:w="1540" w:type="dxa"/>
            <w:shd w:val="clear" w:color="auto" w:fill="auto"/>
            <w:noWrap/>
            <w:vAlign w:val="bottom"/>
          </w:tcPr>
          <w:p w:rsidR="00CF6288" w:rsidRPr="00026660" w:rsidRDefault="00CF6288"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63 %</w:t>
            </w:r>
          </w:p>
        </w:tc>
      </w:tr>
      <w:tr w:rsidR="00CF6288" w:rsidRPr="00026660" w:rsidTr="00185890">
        <w:trPr>
          <w:trHeight w:val="300"/>
          <w:jc w:val="center"/>
        </w:trPr>
        <w:tc>
          <w:tcPr>
            <w:tcW w:w="1640" w:type="dxa"/>
            <w:shd w:val="clear" w:color="auto" w:fill="auto"/>
            <w:noWrap/>
            <w:vAlign w:val="bottom"/>
          </w:tcPr>
          <w:p w:rsidR="00CF6288" w:rsidRPr="00026660" w:rsidRDefault="00CF6288"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C_E10</w:t>
            </w:r>
          </w:p>
        </w:tc>
        <w:tc>
          <w:tcPr>
            <w:tcW w:w="1240" w:type="dxa"/>
            <w:shd w:val="clear" w:color="auto" w:fill="auto"/>
            <w:noWrap/>
            <w:vAlign w:val="bottom"/>
          </w:tcPr>
          <w:p w:rsidR="00CF6288" w:rsidRPr="00026660" w:rsidRDefault="00CF6288"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0,333</w:t>
            </w:r>
          </w:p>
        </w:tc>
        <w:tc>
          <w:tcPr>
            <w:tcW w:w="1540" w:type="dxa"/>
            <w:shd w:val="clear" w:color="auto" w:fill="auto"/>
            <w:noWrap/>
            <w:vAlign w:val="bottom"/>
          </w:tcPr>
          <w:p w:rsidR="00CF6288" w:rsidRPr="00026660" w:rsidRDefault="00CF6288"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50 %</w:t>
            </w:r>
          </w:p>
        </w:tc>
      </w:tr>
      <w:tr w:rsidR="00CF6288" w:rsidRPr="00026660" w:rsidTr="00185890">
        <w:trPr>
          <w:trHeight w:val="300"/>
          <w:jc w:val="center"/>
        </w:trPr>
        <w:tc>
          <w:tcPr>
            <w:tcW w:w="1640" w:type="dxa"/>
            <w:shd w:val="clear" w:color="auto" w:fill="auto"/>
            <w:noWrap/>
            <w:vAlign w:val="bottom"/>
          </w:tcPr>
          <w:p w:rsidR="00CF6288" w:rsidRPr="00026660" w:rsidRDefault="00CF6288"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C_E7</w:t>
            </w:r>
          </w:p>
        </w:tc>
        <w:tc>
          <w:tcPr>
            <w:tcW w:w="1240" w:type="dxa"/>
            <w:shd w:val="clear" w:color="auto" w:fill="auto"/>
            <w:noWrap/>
            <w:vAlign w:val="bottom"/>
          </w:tcPr>
          <w:p w:rsidR="00CF6288" w:rsidRPr="00026660" w:rsidRDefault="00CF6288"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0,333</w:t>
            </w:r>
          </w:p>
        </w:tc>
        <w:tc>
          <w:tcPr>
            <w:tcW w:w="1540" w:type="dxa"/>
            <w:shd w:val="clear" w:color="auto" w:fill="auto"/>
            <w:noWrap/>
            <w:vAlign w:val="bottom"/>
          </w:tcPr>
          <w:p w:rsidR="00CF6288" w:rsidRPr="00026660" w:rsidRDefault="00CF6288"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50 %</w:t>
            </w:r>
          </w:p>
        </w:tc>
      </w:tr>
      <w:tr w:rsidR="00CF6288" w:rsidRPr="00026660" w:rsidTr="00185890">
        <w:trPr>
          <w:trHeight w:val="300"/>
          <w:jc w:val="center"/>
        </w:trPr>
        <w:tc>
          <w:tcPr>
            <w:tcW w:w="1640" w:type="dxa"/>
            <w:shd w:val="clear" w:color="auto" w:fill="auto"/>
            <w:noWrap/>
            <w:vAlign w:val="bottom"/>
          </w:tcPr>
          <w:p w:rsidR="00CF6288" w:rsidRPr="00026660" w:rsidRDefault="00CF6288"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C_E11</w:t>
            </w:r>
          </w:p>
        </w:tc>
        <w:tc>
          <w:tcPr>
            <w:tcW w:w="1240" w:type="dxa"/>
            <w:shd w:val="clear" w:color="auto" w:fill="auto"/>
            <w:noWrap/>
            <w:vAlign w:val="bottom"/>
          </w:tcPr>
          <w:p w:rsidR="00CF6288" w:rsidRPr="00026660" w:rsidRDefault="00CF6288"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0,333</w:t>
            </w:r>
          </w:p>
        </w:tc>
        <w:tc>
          <w:tcPr>
            <w:tcW w:w="1540" w:type="dxa"/>
            <w:shd w:val="clear" w:color="auto" w:fill="auto"/>
            <w:noWrap/>
            <w:vAlign w:val="bottom"/>
          </w:tcPr>
          <w:p w:rsidR="00CF6288" w:rsidRPr="00026660" w:rsidRDefault="00CF6288"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50 %</w:t>
            </w:r>
          </w:p>
        </w:tc>
      </w:tr>
    </w:tbl>
    <w:p w:rsidR="000E4965" w:rsidRDefault="000E4965" w:rsidP="000E4965">
      <w:pPr>
        <w:jc w:val="center"/>
        <w:rPr>
          <w:rFonts w:ascii="Times New Roman" w:hAnsi="Times New Roman" w:cs="Times New Roman"/>
          <w:sz w:val="20"/>
          <w:szCs w:val="20"/>
        </w:rPr>
      </w:pPr>
    </w:p>
    <w:p w:rsidR="00DA5564" w:rsidRDefault="00DA5564" w:rsidP="000E4965">
      <w:pPr>
        <w:jc w:val="center"/>
        <w:rPr>
          <w:rFonts w:ascii="Times New Roman" w:hAnsi="Times New Roman" w:cs="Times New Roman"/>
          <w:sz w:val="20"/>
          <w:szCs w:val="20"/>
        </w:rPr>
      </w:pPr>
    </w:p>
    <w:p w:rsidR="00026660" w:rsidRPr="00092A59" w:rsidRDefault="000E4965" w:rsidP="000E4965">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Table 4</w:t>
      </w:r>
      <w:r w:rsidRPr="000E4965">
        <w:rPr>
          <w:rFonts w:ascii="Times New Roman" w:hAnsi="Times New Roman" w:cs="Times New Roman"/>
          <w:sz w:val="20"/>
          <w:szCs w:val="20"/>
          <w:lang w:val="en-US"/>
        </w:rPr>
        <w:t xml:space="preserve"> — </w:t>
      </w:r>
      <w:r w:rsidRPr="00092A59">
        <w:rPr>
          <w:rFonts w:ascii="Times New Roman" w:hAnsi="Times New Roman" w:cs="Times New Roman"/>
          <w:sz w:val="20"/>
          <w:szCs w:val="20"/>
          <w:lang w:val="en-US"/>
        </w:rPr>
        <w:t>Most typical values of cluster 2 parameters</w:t>
      </w:r>
    </w:p>
    <w:tbl>
      <w:tblPr>
        <w:tblW w:w="4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1240"/>
        <w:gridCol w:w="1540"/>
      </w:tblGrid>
      <w:tr w:rsidR="00092A59" w:rsidRPr="00026660" w:rsidTr="00026660">
        <w:trPr>
          <w:trHeight w:val="300"/>
          <w:jc w:val="center"/>
        </w:trPr>
        <w:tc>
          <w:tcPr>
            <w:tcW w:w="1640" w:type="dxa"/>
            <w:shd w:val="clear" w:color="auto" w:fill="auto"/>
            <w:noWrap/>
            <w:vAlign w:val="bottom"/>
            <w:hideMark/>
          </w:tcPr>
          <w:p w:rsidR="00092A59" w:rsidRPr="00026660" w:rsidRDefault="00092A59" w:rsidP="000E4965">
            <w:pPr>
              <w:ind w:left="426"/>
              <w:jc w:val="center"/>
              <w:rPr>
                <w:rFonts w:ascii="Times New Roman" w:hAnsi="Times New Roman" w:cs="Times New Roman"/>
                <w:sz w:val="20"/>
                <w:szCs w:val="20"/>
              </w:rPr>
            </w:pPr>
            <w:r w:rsidRPr="00092A59">
              <w:rPr>
                <w:rFonts w:ascii="Times New Roman" w:hAnsi="Times New Roman" w:cs="Times New Roman"/>
                <w:sz w:val="20"/>
                <w:szCs w:val="20"/>
              </w:rPr>
              <w:t>Variables</w:t>
            </w:r>
          </w:p>
        </w:tc>
        <w:tc>
          <w:tcPr>
            <w:tcW w:w="1240" w:type="dxa"/>
            <w:shd w:val="clear" w:color="auto" w:fill="auto"/>
            <w:noWrap/>
            <w:vAlign w:val="bottom"/>
            <w:hideMark/>
          </w:tcPr>
          <w:p w:rsidR="00092A59" w:rsidRPr="00026660" w:rsidRDefault="00092A59" w:rsidP="000E4965">
            <w:pPr>
              <w:ind w:left="426"/>
              <w:jc w:val="center"/>
              <w:rPr>
                <w:rFonts w:ascii="Times New Roman" w:hAnsi="Times New Roman" w:cs="Times New Roman"/>
                <w:sz w:val="20"/>
                <w:szCs w:val="20"/>
              </w:rPr>
            </w:pPr>
            <w:r w:rsidRPr="00092A59">
              <w:rPr>
                <w:rFonts w:ascii="Times New Roman" w:hAnsi="Times New Roman" w:cs="Times New Roman"/>
                <w:sz w:val="20"/>
                <w:szCs w:val="20"/>
              </w:rPr>
              <w:t>Values</w:t>
            </w:r>
          </w:p>
        </w:tc>
        <w:tc>
          <w:tcPr>
            <w:tcW w:w="1540" w:type="dxa"/>
            <w:shd w:val="clear" w:color="auto" w:fill="auto"/>
            <w:noWrap/>
            <w:vAlign w:val="bottom"/>
            <w:hideMark/>
          </w:tcPr>
          <w:p w:rsidR="00092A59" w:rsidRPr="00026660" w:rsidRDefault="00092A59" w:rsidP="000E4965">
            <w:pPr>
              <w:ind w:left="426"/>
              <w:jc w:val="center"/>
              <w:rPr>
                <w:rFonts w:ascii="Times New Roman" w:hAnsi="Times New Roman" w:cs="Times New Roman"/>
                <w:sz w:val="20"/>
                <w:szCs w:val="20"/>
              </w:rPr>
            </w:pPr>
            <w:r w:rsidRPr="00092A59">
              <w:rPr>
                <w:rFonts w:ascii="Times New Roman" w:hAnsi="Times New Roman" w:cs="Times New Roman"/>
                <w:sz w:val="20"/>
                <w:szCs w:val="20"/>
              </w:rPr>
              <w:t>Probability</w:t>
            </w:r>
          </w:p>
        </w:tc>
      </w:tr>
      <w:tr w:rsidR="00026660" w:rsidRPr="00026660" w:rsidTr="00026660">
        <w:trPr>
          <w:trHeight w:val="300"/>
          <w:jc w:val="center"/>
        </w:trPr>
        <w:tc>
          <w:tcPr>
            <w:tcW w:w="16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C_E11</w:t>
            </w:r>
          </w:p>
        </w:tc>
        <w:tc>
          <w:tcPr>
            <w:tcW w:w="12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0</w:t>
            </w:r>
          </w:p>
        </w:tc>
        <w:tc>
          <w:tcPr>
            <w:tcW w:w="15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90 %</w:t>
            </w:r>
          </w:p>
        </w:tc>
      </w:tr>
      <w:tr w:rsidR="00026660" w:rsidRPr="00026660" w:rsidTr="00026660">
        <w:trPr>
          <w:trHeight w:val="300"/>
          <w:jc w:val="center"/>
        </w:trPr>
        <w:tc>
          <w:tcPr>
            <w:tcW w:w="16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C_E7</w:t>
            </w:r>
          </w:p>
        </w:tc>
        <w:tc>
          <w:tcPr>
            <w:tcW w:w="12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0</w:t>
            </w:r>
          </w:p>
        </w:tc>
        <w:tc>
          <w:tcPr>
            <w:tcW w:w="15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86 %</w:t>
            </w:r>
          </w:p>
        </w:tc>
      </w:tr>
      <w:tr w:rsidR="00026660" w:rsidRPr="00026660" w:rsidTr="00026660">
        <w:trPr>
          <w:trHeight w:val="300"/>
          <w:jc w:val="center"/>
        </w:trPr>
        <w:tc>
          <w:tcPr>
            <w:tcW w:w="16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C_E10</w:t>
            </w:r>
          </w:p>
        </w:tc>
        <w:tc>
          <w:tcPr>
            <w:tcW w:w="12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0</w:t>
            </w:r>
          </w:p>
        </w:tc>
        <w:tc>
          <w:tcPr>
            <w:tcW w:w="15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77 %</w:t>
            </w:r>
          </w:p>
        </w:tc>
      </w:tr>
      <w:tr w:rsidR="00026660" w:rsidRPr="00026660" w:rsidTr="00026660">
        <w:trPr>
          <w:trHeight w:val="300"/>
          <w:jc w:val="center"/>
        </w:trPr>
        <w:tc>
          <w:tcPr>
            <w:tcW w:w="16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C_E1</w:t>
            </w:r>
          </w:p>
        </w:tc>
        <w:tc>
          <w:tcPr>
            <w:tcW w:w="12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0,333</w:t>
            </w:r>
          </w:p>
        </w:tc>
        <w:tc>
          <w:tcPr>
            <w:tcW w:w="15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74 %</w:t>
            </w:r>
          </w:p>
        </w:tc>
      </w:tr>
      <w:tr w:rsidR="00026660" w:rsidRPr="00026660" w:rsidTr="00026660">
        <w:trPr>
          <w:trHeight w:val="300"/>
          <w:jc w:val="center"/>
        </w:trPr>
        <w:tc>
          <w:tcPr>
            <w:tcW w:w="16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C_E3</w:t>
            </w:r>
          </w:p>
        </w:tc>
        <w:tc>
          <w:tcPr>
            <w:tcW w:w="12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0</w:t>
            </w:r>
          </w:p>
        </w:tc>
        <w:tc>
          <w:tcPr>
            <w:tcW w:w="15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64 %</w:t>
            </w:r>
          </w:p>
        </w:tc>
      </w:tr>
      <w:tr w:rsidR="00026660" w:rsidRPr="00026660" w:rsidTr="00026660">
        <w:trPr>
          <w:trHeight w:val="300"/>
          <w:jc w:val="center"/>
        </w:trPr>
        <w:tc>
          <w:tcPr>
            <w:tcW w:w="16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C_E6</w:t>
            </w:r>
          </w:p>
        </w:tc>
        <w:tc>
          <w:tcPr>
            <w:tcW w:w="12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0</w:t>
            </w:r>
          </w:p>
        </w:tc>
        <w:tc>
          <w:tcPr>
            <w:tcW w:w="15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62 %</w:t>
            </w:r>
          </w:p>
        </w:tc>
      </w:tr>
      <w:tr w:rsidR="00026660" w:rsidRPr="00026660" w:rsidTr="00026660">
        <w:trPr>
          <w:trHeight w:val="300"/>
          <w:jc w:val="center"/>
        </w:trPr>
        <w:tc>
          <w:tcPr>
            <w:tcW w:w="16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C_E5</w:t>
            </w:r>
          </w:p>
        </w:tc>
        <w:tc>
          <w:tcPr>
            <w:tcW w:w="12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0,333</w:t>
            </w:r>
          </w:p>
        </w:tc>
        <w:tc>
          <w:tcPr>
            <w:tcW w:w="15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60 %</w:t>
            </w:r>
          </w:p>
        </w:tc>
      </w:tr>
      <w:tr w:rsidR="00026660" w:rsidRPr="00026660" w:rsidTr="00026660">
        <w:trPr>
          <w:trHeight w:val="300"/>
          <w:jc w:val="center"/>
        </w:trPr>
        <w:tc>
          <w:tcPr>
            <w:tcW w:w="16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C_E8</w:t>
            </w:r>
          </w:p>
        </w:tc>
        <w:tc>
          <w:tcPr>
            <w:tcW w:w="12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0</w:t>
            </w:r>
          </w:p>
        </w:tc>
        <w:tc>
          <w:tcPr>
            <w:tcW w:w="15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52 %</w:t>
            </w:r>
          </w:p>
        </w:tc>
      </w:tr>
      <w:tr w:rsidR="00026660" w:rsidRPr="00026660" w:rsidTr="00026660">
        <w:trPr>
          <w:trHeight w:val="300"/>
          <w:jc w:val="center"/>
        </w:trPr>
        <w:tc>
          <w:tcPr>
            <w:tcW w:w="16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C_E9</w:t>
            </w:r>
          </w:p>
        </w:tc>
        <w:tc>
          <w:tcPr>
            <w:tcW w:w="12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0</w:t>
            </w:r>
          </w:p>
        </w:tc>
        <w:tc>
          <w:tcPr>
            <w:tcW w:w="15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52 %</w:t>
            </w:r>
          </w:p>
        </w:tc>
      </w:tr>
    </w:tbl>
    <w:p w:rsidR="000E5BAA" w:rsidRDefault="000E5BAA" w:rsidP="000E4965">
      <w:pPr>
        <w:rPr>
          <w:rFonts w:ascii="Times New Roman" w:hAnsi="Times New Roman" w:cs="Times New Roman"/>
          <w:sz w:val="20"/>
          <w:szCs w:val="20"/>
        </w:rPr>
      </w:pPr>
    </w:p>
    <w:p w:rsidR="00DA5564" w:rsidRDefault="00DA5564" w:rsidP="000E4965">
      <w:pPr>
        <w:jc w:val="center"/>
        <w:rPr>
          <w:rFonts w:ascii="Times New Roman" w:hAnsi="Times New Roman" w:cs="Times New Roman"/>
          <w:sz w:val="20"/>
          <w:szCs w:val="20"/>
        </w:rPr>
      </w:pPr>
    </w:p>
    <w:p w:rsidR="00DA5564" w:rsidRDefault="00DA5564" w:rsidP="00DA5564">
      <w:pPr>
        <w:jc w:val="center"/>
        <w:rPr>
          <w:rFonts w:ascii="Times New Roman" w:hAnsi="Times New Roman" w:cs="Times New Roman"/>
          <w:sz w:val="20"/>
          <w:szCs w:val="20"/>
          <w:lang w:val="en-US"/>
        </w:rPr>
        <w:sectPr w:rsidR="00DA5564" w:rsidSect="000E4965">
          <w:type w:val="continuous"/>
          <w:pgSz w:w="12240" w:h="15840"/>
          <w:pgMar w:top="1134" w:right="1134" w:bottom="1134" w:left="1134" w:header="709" w:footer="709" w:gutter="0"/>
          <w:cols w:num="2" w:space="357"/>
          <w:docGrid w:linePitch="299"/>
        </w:sectPr>
      </w:pPr>
    </w:p>
    <w:p w:rsidR="00026660" w:rsidRPr="000E4965" w:rsidRDefault="000E4965" w:rsidP="00DA5564">
      <w:pPr>
        <w:jc w:val="center"/>
        <w:rPr>
          <w:rFonts w:ascii="Times New Roman" w:hAnsi="Times New Roman" w:cs="Times New Roman"/>
          <w:sz w:val="20"/>
          <w:szCs w:val="20"/>
          <w:lang w:val="en-US"/>
        </w:rPr>
      </w:pPr>
      <w:r w:rsidRPr="000E4965">
        <w:rPr>
          <w:rFonts w:ascii="Times New Roman" w:hAnsi="Times New Roman" w:cs="Times New Roman"/>
          <w:sz w:val="20"/>
          <w:szCs w:val="20"/>
          <w:lang w:val="en-US"/>
        </w:rPr>
        <w:lastRenderedPageBreak/>
        <w:t>Table 5 — Most typical values of cluster 3 parameters</w:t>
      </w:r>
    </w:p>
    <w:p w:rsidR="00DA5564" w:rsidRPr="00DA5564" w:rsidRDefault="00DA5564" w:rsidP="000E4965">
      <w:pPr>
        <w:ind w:left="426"/>
        <w:jc w:val="center"/>
        <w:rPr>
          <w:rFonts w:ascii="Times New Roman" w:hAnsi="Times New Roman" w:cs="Times New Roman"/>
          <w:sz w:val="20"/>
          <w:szCs w:val="20"/>
          <w:lang w:val="en-US"/>
        </w:rPr>
        <w:sectPr w:rsidR="00DA5564" w:rsidRPr="00DA5564" w:rsidSect="00DA5564">
          <w:type w:val="continuous"/>
          <w:pgSz w:w="12240" w:h="15840"/>
          <w:pgMar w:top="1134" w:right="1134" w:bottom="1134" w:left="1134" w:header="709" w:footer="709" w:gutter="0"/>
          <w:cols w:space="357"/>
          <w:docGrid w:linePitch="299"/>
        </w:sectPr>
      </w:pPr>
    </w:p>
    <w:tbl>
      <w:tblPr>
        <w:tblW w:w="4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1240"/>
        <w:gridCol w:w="1540"/>
      </w:tblGrid>
      <w:tr w:rsidR="00092A59" w:rsidRPr="00DD7239" w:rsidTr="00026660">
        <w:trPr>
          <w:trHeight w:val="300"/>
          <w:jc w:val="center"/>
        </w:trPr>
        <w:tc>
          <w:tcPr>
            <w:tcW w:w="1640" w:type="dxa"/>
            <w:shd w:val="clear" w:color="auto" w:fill="auto"/>
            <w:noWrap/>
            <w:vAlign w:val="bottom"/>
            <w:hideMark/>
          </w:tcPr>
          <w:p w:rsidR="00092A59" w:rsidRPr="00026660" w:rsidRDefault="00092A59" w:rsidP="000E4965">
            <w:pPr>
              <w:ind w:left="426"/>
              <w:jc w:val="center"/>
              <w:rPr>
                <w:rFonts w:ascii="Times New Roman" w:hAnsi="Times New Roman" w:cs="Times New Roman"/>
                <w:sz w:val="20"/>
                <w:szCs w:val="20"/>
              </w:rPr>
            </w:pPr>
            <w:r w:rsidRPr="00092A59">
              <w:rPr>
                <w:rFonts w:ascii="Times New Roman" w:hAnsi="Times New Roman" w:cs="Times New Roman"/>
                <w:sz w:val="20"/>
                <w:szCs w:val="20"/>
              </w:rPr>
              <w:lastRenderedPageBreak/>
              <w:t>Variables</w:t>
            </w:r>
          </w:p>
        </w:tc>
        <w:tc>
          <w:tcPr>
            <w:tcW w:w="1240" w:type="dxa"/>
            <w:shd w:val="clear" w:color="auto" w:fill="auto"/>
            <w:noWrap/>
            <w:vAlign w:val="bottom"/>
            <w:hideMark/>
          </w:tcPr>
          <w:p w:rsidR="00092A59" w:rsidRPr="00026660" w:rsidRDefault="00092A59" w:rsidP="000E4965">
            <w:pPr>
              <w:ind w:left="426"/>
              <w:jc w:val="center"/>
              <w:rPr>
                <w:rFonts w:ascii="Times New Roman" w:hAnsi="Times New Roman" w:cs="Times New Roman"/>
                <w:sz w:val="20"/>
                <w:szCs w:val="20"/>
              </w:rPr>
            </w:pPr>
            <w:r w:rsidRPr="00092A59">
              <w:rPr>
                <w:rFonts w:ascii="Times New Roman" w:hAnsi="Times New Roman" w:cs="Times New Roman"/>
                <w:sz w:val="20"/>
                <w:szCs w:val="20"/>
              </w:rPr>
              <w:t>Values</w:t>
            </w:r>
          </w:p>
        </w:tc>
        <w:tc>
          <w:tcPr>
            <w:tcW w:w="1540" w:type="dxa"/>
            <w:shd w:val="clear" w:color="auto" w:fill="auto"/>
            <w:noWrap/>
            <w:vAlign w:val="bottom"/>
            <w:hideMark/>
          </w:tcPr>
          <w:p w:rsidR="00092A59" w:rsidRPr="00026660" w:rsidRDefault="00092A59" w:rsidP="000E4965">
            <w:pPr>
              <w:ind w:left="426"/>
              <w:jc w:val="center"/>
              <w:rPr>
                <w:rFonts w:ascii="Times New Roman" w:hAnsi="Times New Roman" w:cs="Times New Roman"/>
                <w:sz w:val="20"/>
                <w:szCs w:val="20"/>
              </w:rPr>
            </w:pPr>
            <w:r w:rsidRPr="00092A59">
              <w:rPr>
                <w:rFonts w:ascii="Times New Roman" w:hAnsi="Times New Roman" w:cs="Times New Roman"/>
                <w:sz w:val="20"/>
                <w:szCs w:val="20"/>
              </w:rPr>
              <w:t>Probability</w:t>
            </w:r>
          </w:p>
        </w:tc>
      </w:tr>
      <w:tr w:rsidR="00026660" w:rsidRPr="00DD7239" w:rsidTr="00026660">
        <w:trPr>
          <w:trHeight w:val="300"/>
          <w:jc w:val="center"/>
        </w:trPr>
        <w:tc>
          <w:tcPr>
            <w:tcW w:w="16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C_E1</w:t>
            </w:r>
          </w:p>
        </w:tc>
        <w:tc>
          <w:tcPr>
            <w:tcW w:w="12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0,333</w:t>
            </w:r>
          </w:p>
        </w:tc>
        <w:tc>
          <w:tcPr>
            <w:tcW w:w="15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100 %</w:t>
            </w:r>
          </w:p>
        </w:tc>
      </w:tr>
      <w:tr w:rsidR="00026660" w:rsidRPr="00DD7239" w:rsidTr="00026660">
        <w:trPr>
          <w:trHeight w:val="300"/>
          <w:jc w:val="center"/>
        </w:trPr>
        <w:tc>
          <w:tcPr>
            <w:tcW w:w="16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C_E3</w:t>
            </w:r>
          </w:p>
        </w:tc>
        <w:tc>
          <w:tcPr>
            <w:tcW w:w="12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0,333</w:t>
            </w:r>
          </w:p>
        </w:tc>
        <w:tc>
          <w:tcPr>
            <w:tcW w:w="15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100 %</w:t>
            </w:r>
          </w:p>
        </w:tc>
      </w:tr>
      <w:tr w:rsidR="00026660" w:rsidRPr="00DD7239" w:rsidTr="00026660">
        <w:trPr>
          <w:trHeight w:val="300"/>
          <w:jc w:val="center"/>
        </w:trPr>
        <w:tc>
          <w:tcPr>
            <w:tcW w:w="16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lastRenderedPageBreak/>
              <w:t>C_E6</w:t>
            </w:r>
          </w:p>
        </w:tc>
        <w:tc>
          <w:tcPr>
            <w:tcW w:w="12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0,333</w:t>
            </w:r>
          </w:p>
        </w:tc>
        <w:tc>
          <w:tcPr>
            <w:tcW w:w="15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95 %</w:t>
            </w:r>
          </w:p>
        </w:tc>
      </w:tr>
      <w:tr w:rsidR="00026660" w:rsidRPr="00DD7239" w:rsidTr="00026660">
        <w:trPr>
          <w:trHeight w:val="300"/>
          <w:jc w:val="center"/>
        </w:trPr>
        <w:tc>
          <w:tcPr>
            <w:tcW w:w="16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C_E5</w:t>
            </w:r>
          </w:p>
        </w:tc>
        <w:tc>
          <w:tcPr>
            <w:tcW w:w="12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0</w:t>
            </w:r>
          </w:p>
        </w:tc>
        <w:tc>
          <w:tcPr>
            <w:tcW w:w="15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93 %</w:t>
            </w:r>
          </w:p>
        </w:tc>
      </w:tr>
      <w:tr w:rsidR="00026660" w:rsidRPr="00DD7239" w:rsidTr="00026660">
        <w:trPr>
          <w:trHeight w:val="300"/>
          <w:jc w:val="center"/>
        </w:trPr>
        <w:tc>
          <w:tcPr>
            <w:tcW w:w="16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C_E4</w:t>
            </w:r>
          </w:p>
        </w:tc>
        <w:tc>
          <w:tcPr>
            <w:tcW w:w="12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0,333</w:t>
            </w:r>
          </w:p>
        </w:tc>
        <w:tc>
          <w:tcPr>
            <w:tcW w:w="15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77 %</w:t>
            </w:r>
          </w:p>
        </w:tc>
      </w:tr>
      <w:tr w:rsidR="00026660" w:rsidRPr="00DD7239" w:rsidTr="00026660">
        <w:trPr>
          <w:trHeight w:val="300"/>
          <w:jc w:val="center"/>
        </w:trPr>
        <w:tc>
          <w:tcPr>
            <w:tcW w:w="16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C_E2</w:t>
            </w:r>
          </w:p>
        </w:tc>
        <w:tc>
          <w:tcPr>
            <w:tcW w:w="12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0,666</w:t>
            </w:r>
          </w:p>
        </w:tc>
        <w:tc>
          <w:tcPr>
            <w:tcW w:w="15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76 %</w:t>
            </w:r>
          </w:p>
        </w:tc>
      </w:tr>
      <w:tr w:rsidR="00026660" w:rsidRPr="00DD7239" w:rsidTr="00026660">
        <w:trPr>
          <w:trHeight w:val="300"/>
          <w:jc w:val="center"/>
        </w:trPr>
        <w:tc>
          <w:tcPr>
            <w:tcW w:w="16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C_E11</w:t>
            </w:r>
          </w:p>
        </w:tc>
        <w:tc>
          <w:tcPr>
            <w:tcW w:w="12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0</w:t>
            </w:r>
          </w:p>
        </w:tc>
        <w:tc>
          <w:tcPr>
            <w:tcW w:w="15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71 %</w:t>
            </w:r>
          </w:p>
        </w:tc>
      </w:tr>
      <w:tr w:rsidR="00026660" w:rsidRPr="00DD7239" w:rsidTr="00026660">
        <w:trPr>
          <w:trHeight w:val="300"/>
          <w:jc w:val="center"/>
        </w:trPr>
        <w:tc>
          <w:tcPr>
            <w:tcW w:w="16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C_E7</w:t>
            </w:r>
          </w:p>
        </w:tc>
        <w:tc>
          <w:tcPr>
            <w:tcW w:w="12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0,333</w:t>
            </w:r>
          </w:p>
        </w:tc>
        <w:tc>
          <w:tcPr>
            <w:tcW w:w="15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69 %</w:t>
            </w:r>
          </w:p>
        </w:tc>
      </w:tr>
      <w:tr w:rsidR="00026660" w:rsidRPr="00DD7239" w:rsidTr="00026660">
        <w:trPr>
          <w:trHeight w:val="300"/>
          <w:jc w:val="center"/>
        </w:trPr>
        <w:tc>
          <w:tcPr>
            <w:tcW w:w="16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C_E9</w:t>
            </w:r>
          </w:p>
        </w:tc>
        <w:tc>
          <w:tcPr>
            <w:tcW w:w="12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0,666</w:t>
            </w:r>
          </w:p>
        </w:tc>
        <w:tc>
          <w:tcPr>
            <w:tcW w:w="1540" w:type="dxa"/>
            <w:shd w:val="clear" w:color="auto" w:fill="auto"/>
            <w:noWrap/>
            <w:vAlign w:val="bottom"/>
          </w:tcPr>
          <w:p w:rsidR="00026660" w:rsidRPr="00026660" w:rsidRDefault="00026660" w:rsidP="000E4965">
            <w:pPr>
              <w:ind w:left="426"/>
              <w:jc w:val="center"/>
              <w:rPr>
                <w:rFonts w:ascii="Times New Roman" w:hAnsi="Times New Roman" w:cs="Times New Roman"/>
                <w:sz w:val="20"/>
                <w:szCs w:val="20"/>
              </w:rPr>
            </w:pPr>
            <w:r w:rsidRPr="00026660">
              <w:rPr>
                <w:rFonts w:ascii="Times New Roman" w:hAnsi="Times New Roman" w:cs="Times New Roman"/>
                <w:sz w:val="20"/>
                <w:szCs w:val="20"/>
              </w:rPr>
              <w:t>52 %</w:t>
            </w:r>
          </w:p>
        </w:tc>
      </w:tr>
    </w:tbl>
    <w:p w:rsidR="000E4965" w:rsidRDefault="000E4965" w:rsidP="000E4965">
      <w:pPr>
        <w:spacing w:line="360" w:lineRule="auto"/>
        <w:ind w:left="426"/>
        <w:jc w:val="both"/>
        <w:rPr>
          <w:rFonts w:ascii="Times New Roman" w:hAnsi="Times New Roman" w:cs="Times New Roman"/>
          <w:sz w:val="24"/>
          <w:szCs w:val="24"/>
        </w:rPr>
        <w:sectPr w:rsidR="000E4965" w:rsidSect="00DA5564">
          <w:type w:val="continuous"/>
          <w:pgSz w:w="12240" w:h="15840"/>
          <w:pgMar w:top="1134" w:right="1134" w:bottom="1134" w:left="1134" w:header="709" w:footer="709" w:gutter="0"/>
          <w:cols w:space="357"/>
          <w:docGrid w:linePitch="299"/>
        </w:sectPr>
      </w:pPr>
    </w:p>
    <w:p w:rsidR="00DA5564" w:rsidRDefault="00DA5564" w:rsidP="000E4965">
      <w:pPr>
        <w:spacing w:after="0" w:line="360" w:lineRule="auto"/>
        <w:jc w:val="both"/>
        <w:rPr>
          <w:rFonts w:ascii="Times New Roman" w:hAnsi="Times New Roman" w:cs="Times New Roman"/>
          <w:sz w:val="24"/>
          <w:szCs w:val="24"/>
        </w:rPr>
      </w:pPr>
    </w:p>
    <w:p w:rsidR="00C3755D" w:rsidRPr="00C3755D" w:rsidRDefault="00C3755D" w:rsidP="000E4965">
      <w:pPr>
        <w:spacing w:after="0" w:line="360" w:lineRule="auto"/>
        <w:jc w:val="both"/>
        <w:rPr>
          <w:rFonts w:ascii="Times New Roman" w:hAnsi="Times New Roman" w:cs="Times New Roman"/>
          <w:sz w:val="24"/>
          <w:szCs w:val="24"/>
          <w:lang w:val="en-US"/>
        </w:rPr>
      </w:pPr>
      <w:r w:rsidRPr="00C3755D">
        <w:rPr>
          <w:rFonts w:ascii="Times New Roman" w:hAnsi="Times New Roman" w:cs="Times New Roman"/>
          <w:sz w:val="24"/>
          <w:szCs w:val="24"/>
          <w:lang w:val="en-US"/>
        </w:rPr>
        <w:t xml:space="preserve">It can be seen from the tables that cluster 1 most accurately describes a low assessment of Efficiency 1 (application of </w:t>
      </w:r>
      <w:r w:rsidR="00AB7258">
        <w:rPr>
          <w:rFonts w:ascii="Times New Roman" w:hAnsi="Times New Roman" w:cs="Times New Roman"/>
          <w:sz w:val="24"/>
          <w:szCs w:val="24"/>
          <w:lang w:val="en-US"/>
        </w:rPr>
        <w:t xml:space="preserve">the </w:t>
      </w:r>
      <w:r w:rsidRPr="00C3755D">
        <w:rPr>
          <w:rFonts w:ascii="Times New Roman" w:hAnsi="Times New Roman" w:cs="Times New Roman"/>
          <w:sz w:val="24"/>
          <w:szCs w:val="24"/>
          <w:lang w:val="en-US"/>
        </w:rPr>
        <w:t xml:space="preserve">risk-based approach), Efficiency 3 (impeding the use of financial institutions and DNFBPs for criminal purposes), Efficiency 4 (reducing the risk of financial institutions and DNFBPs), Efficiency 5 </w:t>
      </w:r>
      <w:r w:rsidR="00AB7258">
        <w:rPr>
          <w:rFonts w:ascii="Times New Roman" w:hAnsi="Times New Roman" w:cs="Times New Roman"/>
          <w:sz w:val="24"/>
          <w:szCs w:val="24"/>
          <w:lang w:val="en-US"/>
        </w:rPr>
        <w:t>(</w:t>
      </w:r>
      <w:r w:rsidRPr="00C3755D">
        <w:rPr>
          <w:rFonts w:ascii="Times New Roman" w:hAnsi="Times New Roman" w:cs="Times New Roman"/>
          <w:sz w:val="24"/>
          <w:szCs w:val="24"/>
          <w:lang w:val="en-US"/>
        </w:rPr>
        <w:t>ensuring transparency of institutions).</w:t>
      </w:r>
    </w:p>
    <w:p w:rsidR="00C3755D" w:rsidRPr="00AA1CD3" w:rsidRDefault="00C3755D" w:rsidP="000E4965">
      <w:pPr>
        <w:spacing w:after="0" w:line="360" w:lineRule="auto"/>
        <w:jc w:val="both"/>
        <w:rPr>
          <w:rFonts w:ascii="Times New Roman" w:hAnsi="Times New Roman" w:cs="Times New Roman"/>
          <w:sz w:val="24"/>
          <w:szCs w:val="24"/>
          <w:lang w:val="en-US"/>
        </w:rPr>
      </w:pPr>
      <w:r w:rsidRPr="00C3755D">
        <w:rPr>
          <w:rFonts w:ascii="Times New Roman" w:hAnsi="Times New Roman" w:cs="Times New Roman"/>
          <w:sz w:val="24"/>
          <w:szCs w:val="24"/>
          <w:lang w:val="en-US"/>
        </w:rPr>
        <w:t>Cluster 2 is characterized by high performance indicators 1 (risk-based approach), Efficiency 6 (financial data collection), Efficiency 9 (penalties for FT crimes), Efficiency 11 (sanctions for crimes of proliferation of weapons of mass destruction). At the same time, cluster 2 can be characterized by low Efficiency 3 scores (an obstacle to the use of financial institutions and DNFBPs for criminal purposes) and Efficiency 4 (reducing the risk of financial institutions and DNFBPs).</w:t>
      </w:r>
    </w:p>
    <w:p w:rsidR="00C3755D" w:rsidRPr="00C3755D" w:rsidRDefault="00C3755D" w:rsidP="000E4965">
      <w:pPr>
        <w:spacing w:after="0" w:line="360" w:lineRule="auto"/>
        <w:jc w:val="both"/>
        <w:rPr>
          <w:rFonts w:ascii="Times New Roman" w:hAnsi="Times New Roman" w:cs="Times New Roman"/>
          <w:sz w:val="24"/>
          <w:szCs w:val="24"/>
          <w:lang w:val="en-US"/>
        </w:rPr>
      </w:pPr>
      <w:r w:rsidRPr="00C3755D">
        <w:rPr>
          <w:rFonts w:ascii="Times New Roman" w:hAnsi="Times New Roman" w:cs="Times New Roman"/>
          <w:sz w:val="24"/>
          <w:szCs w:val="24"/>
          <w:lang w:val="en-US"/>
        </w:rPr>
        <w:t xml:space="preserve">Cluster 3 is characterized by extremely low performance indicators 4 (reducing the risk of financial institutions and DNFBPs), Efficiency 7 (sanctions for ML offenses) and Efficiency 8 </w:t>
      </w:r>
      <w:r>
        <w:rPr>
          <w:rFonts w:ascii="Times New Roman" w:hAnsi="Times New Roman" w:cs="Times New Roman"/>
          <w:sz w:val="24"/>
          <w:szCs w:val="24"/>
          <w:lang w:val="en-US"/>
        </w:rPr>
        <w:t>(confiscation of proceeds of ML/</w:t>
      </w:r>
      <w:r w:rsidRPr="00C3755D">
        <w:rPr>
          <w:rFonts w:ascii="Times New Roman" w:hAnsi="Times New Roman" w:cs="Times New Roman"/>
          <w:sz w:val="24"/>
          <w:szCs w:val="24"/>
          <w:lang w:val="en-US"/>
        </w:rPr>
        <w:t>FT crime).</w:t>
      </w:r>
    </w:p>
    <w:p w:rsidR="00092A59" w:rsidRPr="00092A59" w:rsidRDefault="00092A59" w:rsidP="00AB7258">
      <w:pPr>
        <w:spacing w:line="360" w:lineRule="auto"/>
        <w:jc w:val="both"/>
        <w:rPr>
          <w:rFonts w:ascii="Times New Roman" w:hAnsi="Times New Roman" w:cs="Times New Roman"/>
          <w:sz w:val="24"/>
          <w:szCs w:val="24"/>
          <w:lang w:val="en-US"/>
        </w:rPr>
      </w:pPr>
      <w:r w:rsidRPr="00092A59">
        <w:rPr>
          <w:rFonts w:ascii="Times New Roman" w:hAnsi="Times New Roman" w:cs="Times New Roman"/>
          <w:sz w:val="24"/>
          <w:szCs w:val="24"/>
          <w:lang w:val="en-US"/>
        </w:rPr>
        <w:t xml:space="preserve">Figure 3 shows that not all </w:t>
      </w:r>
      <w:r w:rsidR="00AB7258">
        <w:rPr>
          <w:rFonts w:ascii="Times New Roman" w:hAnsi="Times New Roman" w:cs="Times New Roman"/>
          <w:sz w:val="24"/>
          <w:szCs w:val="24"/>
          <w:lang w:val="en-US"/>
        </w:rPr>
        <w:t xml:space="preserve">the </w:t>
      </w:r>
      <w:r w:rsidRPr="00092A59">
        <w:rPr>
          <w:rFonts w:ascii="Times New Roman" w:hAnsi="Times New Roman" w:cs="Times New Roman"/>
          <w:sz w:val="24"/>
          <w:szCs w:val="24"/>
          <w:lang w:val="en-US"/>
        </w:rPr>
        <w:t>countries</w:t>
      </w:r>
      <w:r w:rsidR="00AB7258">
        <w:rPr>
          <w:rFonts w:ascii="Times New Roman" w:hAnsi="Times New Roman" w:cs="Times New Roman"/>
          <w:sz w:val="24"/>
          <w:szCs w:val="24"/>
          <w:lang w:val="en-US"/>
        </w:rPr>
        <w:t>,</w:t>
      </w:r>
      <w:r w:rsidRPr="00092A59">
        <w:rPr>
          <w:rFonts w:ascii="Times New Roman" w:hAnsi="Times New Roman" w:cs="Times New Roman"/>
          <w:sz w:val="24"/>
          <w:szCs w:val="24"/>
          <w:lang w:val="en-US"/>
        </w:rPr>
        <w:t xml:space="preserve"> </w:t>
      </w:r>
      <w:r w:rsidR="00AB7258">
        <w:rPr>
          <w:rFonts w:ascii="Times New Roman" w:hAnsi="Times New Roman" w:cs="Times New Roman"/>
          <w:sz w:val="24"/>
          <w:szCs w:val="24"/>
          <w:lang w:val="en-US"/>
        </w:rPr>
        <w:t xml:space="preserve">which </w:t>
      </w:r>
      <w:r w:rsidRPr="00092A59">
        <w:rPr>
          <w:rFonts w:ascii="Times New Roman" w:hAnsi="Times New Roman" w:cs="Times New Roman"/>
          <w:sz w:val="24"/>
          <w:szCs w:val="24"/>
          <w:lang w:val="en-US"/>
        </w:rPr>
        <w:t>are successful in assessing technical compliance</w:t>
      </w:r>
      <w:r w:rsidR="00AB7258">
        <w:rPr>
          <w:rFonts w:ascii="Times New Roman" w:hAnsi="Times New Roman" w:cs="Times New Roman"/>
          <w:sz w:val="24"/>
          <w:szCs w:val="24"/>
          <w:lang w:val="en-US"/>
        </w:rPr>
        <w:t>,</w:t>
      </w:r>
      <w:r w:rsidRPr="00092A59">
        <w:rPr>
          <w:rFonts w:ascii="Times New Roman" w:hAnsi="Times New Roman" w:cs="Times New Roman"/>
          <w:sz w:val="24"/>
          <w:szCs w:val="24"/>
          <w:lang w:val="en-US"/>
        </w:rPr>
        <w:t xml:space="preserve"> have also succeeded in evaluating performance.</w:t>
      </w:r>
    </w:p>
    <w:p w:rsidR="00092A59" w:rsidRPr="00AA1CD3" w:rsidRDefault="00092A59" w:rsidP="000E4965">
      <w:pPr>
        <w:spacing w:after="0" w:line="360" w:lineRule="auto"/>
        <w:jc w:val="both"/>
        <w:rPr>
          <w:rFonts w:ascii="Times New Roman" w:hAnsi="Times New Roman" w:cs="Times New Roman"/>
          <w:sz w:val="24"/>
          <w:szCs w:val="24"/>
          <w:lang w:val="en-US"/>
        </w:rPr>
      </w:pPr>
      <w:r w:rsidRPr="00092A59">
        <w:rPr>
          <w:rFonts w:ascii="Times New Roman" w:hAnsi="Times New Roman" w:cs="Times New Roman"/>
          <w:sz w:val="24"/>
          <w:szCs w:val="24"/>
          <w:lang w:val="en-US"/>
        </w:rPr>
        <w:t>Based on the results of the analysis of the technical conformity assessment, it was found that the greatest success was achieved by the countries of cluster 1. The countries of cluster 2 are characterized by low scores, while the countries of cluster 3 generally received average assessments of technical compliance.</w:t>
      </w:r>
    </w:p>
    <w:p w:rsidR="00162C14" w:rsidRPr="00092A59" w:rsidRDefault="00092A59" w:rsidP="000E4965">
      <w:pPr>
        <w:spacing w:after="0" w:line="360" w:lineRule="auto"/>
        <w:jc w:val="both"/>
        <w:rPr>
          <w:rFonts w:ascii="Times New Roman" w:hAnsi="Times New Roman" w:cs="Times New Roman"/>
          <w:sz w:val="24"/>
          <w:szCs w:val="24"/>
          <w:lang w:val="en-US"/>
        </w:rPr>
      </w:pPr>
      <w:r w:rsidRPr="00092A59">
        <w:rPr>
          <w:rFonts w:ascii="Times New Roman" w:hAnsi="Times New Roman" w:cs="Times New Roman"/>
          <w:sz w:val="24"/>
          <w:szCs w:val="24"/>
          <w:lang w:val="en-US"/>
        </w:rPr>
        <w:t>Based on the results of the analysis of effectiveness assessments, it was found that the countries of cluster 1 achieved the greatest success, as in the case of assessments of technical compliance. The countries of cluster 2 are characterized by low scores, and the countries of cluster 3 generally received average efficiency ratings.</w:t>
      </w:r>
    </w:p>
    <w:p w:rsidR="00092A59" w:rsidRPr="00092A59" w:rsidRDefault="00092A59" w:rsidP="00AB7258">
      <w:pPr>
        <w:spacing w:after="0" w:line="360" w:lineRule="auto"/>
        <w:jc w:val="both"/>
        <w:rPr>
          <w:rFonts w:ascii="Times New Roman" w:hAnsi="Times New Roman" w:cs="Times New Roman"/>
          <w:sz w:val="24"/>
          <w:szCs w:val="24"/>
          <w:lang w:val="en-US"/>
        </w:rPr>
      </w:pPr>
      <w:r w:rsidRPr="00092A59">
        <w:rPr>
          <w:rFonts w:ascii="Times New Roman" w:hAnsi="Times New Roman" w:cs="Times New Roman"/>
          <w:sz w:val="24"/>
          <w:szCs w:val="24"/>
          <w:lang w:val="en-US"/>
        </w:rPr>
        <w:t>From the results of the analysis, it can be concluded that the countries</w:t>
      </w:r>
      <w:r w:rsidR="00AB7258">
        <w:rPr>
          <w:rFonts w:ascii="Times New Roman" w:hAnsi="Times New Roman" w:cs="Times New Roman"/>
          <w:sz w:val="24"/>
          <w:szCs w:val="24"/>
          <w:lang w:val="en-US"/>
        </w:rPr>
        <w:t>,</w:t>
      </w:r>
      <w:r w:rsidRPr="00092A59">
        <w:rPr>
          <w:rFonts w:ascii="Times New Roman" w:hAnsi="Times New Roman" w:cs="Times New Roman"/>
          <w:sz w:val="24"/>
          <w:szCs w:val="24"/>
          <w:lang w:val="en-US"/>
        </w:rPr>
        <w:t xml:space="preserve"> where </w:t>
      </w:r>
      <w:r w:rsidR="00AB7258" w:rsidRPr="00092A59">
        <w:rPr>
          <w:rFonts w:ascii="Times New Roman" w:hAnsi="Times New Roman" w:cs="Times New Roman"/>
          <w:sz w:val="24"/>
          <w:szCs w:val="24"/>
          <w:lang w:val="en-US"/>
        </w:rPr>
        <w:t xml:space="preserve">clusters </w:t>
      </w:r>
      <w:r w:rsidRPr="00092A59">
        <w:rPr>
          <w:rFonts w:ascii="Times New Roman" w:hAnsi="Times New Roman" w:cs="Times New Roman"/>
          <w:sz w:val="24"/>
          <w:szCs w:val="24"/>
          <w:lang w:val="en-US"/>
        </w:rPr>
        <w:t xml:space="preserve">1R and 1E </w:t>
      </w:r>
      <w:r w:rsidR="00AB7258">
        <w:rPr>
          <w:rFonts w:ascii="Times New Roman" w:hAnsi="Times New Roman" w:cs="Times New Roman"/>
          <w:sz w:val="24"/>
          <w:szCs w:val="24"/>
          <w:lang w:val="en-US"/>
        </w:rPr>
        <w:t>inter</w:t>
      </w:r>
      <w:r w:rsidRPr="00092A59">
        <w:rPr>
          <w:rFonts w:ascii="Times New Roman" w:hAnsi="Times New Roman" w:cs="Times New Roman"/>
          <w:sz w:val="24"/>
          <w:szCs w:val="24"/>
          <w:lang w:val="en-US"/>
        </w:rPr>
        <w:t>crossed</w:t>
      </w:r>
      <w:r w:rsidR="00AB7258">
        <w:rPr>
          <w:rFonts w:ascii="Times New Roman" w:hAnsi="Times New Roman" w:cs="Times New Roman"/>
          <w:sz w:val="24"/>
          <w:szCs w:val="24"/>
          <w:lang w:val="en-US"/>
        </w:rPr>
        <w:t>,</w:t>
      </w:r>
      <w:r w:rsidRPr="00092A59">
        <w:rPr>
          <w:rFonts w:ascii="Times New Roman" w:hAnsi="Times New Roman" w:cs="Times New Roman"/>
          <w:sz w:val="24"/>
          <w:szCs w:val="24"/>
          <w:lang w:val="en-US"/>
        </w:rPr>
        <w:t xml:space="preserve"> o</w:t>
      </w:r>
      <w:r w:rsidR="00FA4007">
        <w:rPr>
          <w:rFonts w:ascii="Times New Roman" w:hAnsi="Times New Roman" w:cs="Times New Roman"/>
          <w:sz w:val="24"/>
          <w:szCs w:val="24"/>
          <w:lang w:val="en-US"/>
        </w:rPr>
        <w:t>rganized the most effective AML/</w:t>
      </w:r>
      <w:r w:rsidRPr="00092A59">
        <w:rPr>
          <w:rFonts w:ascii="Times New Roman" w:hAnsi="Times New Roman" w:cs="Times New Roman"/>
          <w:sz w:val="24"/>
          <w:szCs w:val="24"/>
          <w:lang w:val="en-US"/>
        </w:rPr>
        <w:t xml:space="preserve">CFT system that complies with the FATF standards. </w:t>
      </w:r>
      <w:r w:rsidRPr="00092A59">
        <w:rPr>
          <w:rFonts w:ascii="Times New Roman" w:hAnsi="Times New Roman" w:cs="Times New Roman"/>
          <w:sz w:val="24"/>
          <w:szCs w:val="24"/>
          <w:lang w:val="en-US"/>
        </w:rPr>
        <w:lastRenderedPageBreak/>
        <w:t xml:space="preserve">The countries of the intersection of clusters 1R and 1E are: Belgium, Canada, Cuba, Malaysia, Norway, Singapore, </w:t>
      </w:r>
      <w:r w:rsidR="00AB7258">
        <w:rPr>
          <w:rFonts w:ascii="Times New Roman" w:hAnsi="Times New Roman" w:cs="Times New Roman"/>
          <w:sz w:val="24"/>
          <w:szCs w:val="24"/>
          <w:lang w:val="en-US"/>
        </w:rPr>
        <w:t xml:space="preserve">the </w:t>
      </w:r>
      <w:r w:rsidRPr="00092A59">
        <w:rPr>
          <w:rFonts w:ascii="Times New Roman" w:hAnsi="Times New Roman" w:cs="Times New Roman"/>
          <w:sz w:val="24"/>
          <w:szCs w:val="24"/>
          <w:lang w:val="en-US"/>
        </w:rPr>
        <w:t>USA, Spain, Italy, Switzerland.</w:t>
      </w:r>
    </w:p>
    <w:p w:rsidR="00162C14" w:rsidRPr="00092A59" w:rsidRDefault="00092A59" w:rsidP="000E4965">
      <w:pPr>
        <w:spacing w:after="0" w:line="360" w:lineRule="auto"/>
        <w:jc w:val="both"/>
        <w:rPr>
          <w:rFonts w:ascii="Times New Roman" w:hAnsi="Times New Roman" w:cs="Times New Roman"/>
          <w:sz w:val="24"/>
          <w:szCs w:val="24"/>
          <w:lang w:val="en-US"/>
        </w:rPr>
      </w:pPr>
      <w:r w:rsidRPr="00092A59">
        <w:rPr>
          <w:rFonts w:ascii="Times New Roman" w:hAnsi="Times New Roman" w:cs="Times New Roman"/>
          <w:sz w:val="24"/>
          <w:szCs w:val="24"/>
          <w:lang w:val="en-US"/>
        </w:rPr>
        <w:t>The countries of the intersection of clusters 1E and 3R are characterized by high efficiency ratings, but at the same time average estimates of technical compliance. The countries of the intersection of clusters 1E and 3R are Australia and Guatemala.</w:t>
      </w:r>
    </w:p>
    <w:p w:rsidR="00092A59" w:rsidRPr="00092A59" w:rsidRDefault="00092A59" w:rsidP="000E4965">
      <w:pPr>
        <w:spacing w:after="0" w:line="360" w:lineRule="auto"/>
        <w:jc w:val="both"/>
        <w:rPr>
          <w:rFonts w:ascii="Times New Roman" w:hAnsi="Times New Roman" w:cs="Times New Roman"/>
          <w:sz w:val="24"/>
          <w:szCs w:val="24"/>
          <w:lang w:val="en-US"/>
        </w:rPr>
      </w:pPr>
      <w:r w:rsidRPr="00092A59">
        <w:rPr>
          <w:rFonts w:ascii="Times New Roman" w:hAnsi="Times New Roman" w:cs="Times New Roman"/>
          <w:sz w:val="24"/>
          <w:szCs w:val="24"/>
          <w:lang w:val="en-US"/>
        </w:rPr>
        <w:t>The countries of the intersection of clusters 3E and 1R are characterized by high assessments of technical compliance and average efficiency estimates. The countries of the intersection of clusters 1R and 3E are Armenia and Bangladesh.</w:t>
      </w:r>
    </w:p>
    <w:p w:rsidR="00092A59" w:rsidRPr="00AA1CD3" w:rsidRDefault="00092A59" w:rsidP="00825C01">
      <w:pPr>
        <w:spacing w:after="0" w:line="360" w:lineRule="auto"/>
        <w:jc w:val="both"/>
        <w:rPr>
          <w:rFonts w:ascii="Times New Roman" w:hAnsi="Times New Roman" w:cs="Times New Roman"/>
          <w:sz w:val="24"/>
          <w:szCs w:val="24"/>
          <w:lang w:val="en-US"/>
        </w:rPr>
      </w:pPr>
      <w:r w:rsidRPr="00092A59">
        <w:rPr>
          <w:rFonts w:ascii="Times New Roman" w:hAnsi="Times New Roman" w:cs="Times New Roman"/>
          <w:sz w:val="24"/>
          <w:szCs w:val="24"/>
          <w:lang w:val="en-US"/>
        </w:rPr>
        <w:t xml:space="preserve">The countries of the intersections of clusters 3E and 3R are characterized by average values of both efficiency estimates and technical conformity assessments. </w:t>
      </w:r>
      <w:r w:rsidR="00AB7258">
        <w:rPr>
          <w:rFonts w:ascii="Times New Roman" w:hAnsi="Times New Roman" w:cs="Times New Roman"/>
          <w:sz w:val="24"/>
          <w:szCs w:val="24"/>
          <w:lang w:val="en-US"/>
        </w:rPr>
        <w:t>Among the c</w:t>
      </w:r>
      <w:r w:rsidRPr="00AA1CD3">
        <w:rPr>
          <w:rFonts w:ascii="Times New Roman" w:hAnsi="Times New Roman" w:cs="Times New Roman"/>
          <w:sz w:val="24"/>
          <w:szCs w:val="24"/>
          <w:lang w:val="en-US"/>
        </w:rPr>
        <w:t xml:space="preserve">ountries of cluster 3E and 3R </w:t>
      </w:r>
      <w:r w:rsidR="00825C01">
        <w:rPr>
          <w:rFonts w:ascii="Times New Roman" w:hAnsi="Times New Roman" w:cs="Times New Roman"/>
          <w:sz w:val="24"/>
          <w:szCs w:val="24"/>
          <w:lang w:val="en-US"/>
        </w:rPr>
        <w:t>is</w:t>
      </w:r>
      <w:r w:rsidRPr="00AA1CD3">
        <w:rPr>
          <w:rFonts w:ascii="Times New Roman" w:hAnsi="Times New Roman" w:cs="Times New Roman"/>
          <w:sz w:val="24"/>
          <w:szCs w:val="24"/>
          <w:lang w:val="en-US"/>
        </w:rPr>
        <w:t xml:space="preserve"> Fiji.</w:t>
      </w:r>
    </w:p>
    <w:p w:rsidR="00092A59" w:rsidRPr="00092A59" w:rsidRDefault="00092A59" w:rsidP="00D57F9D">
      <w:pPr>
        <w:spacing w:after="0" w:line="360" w:lineRule="auto"/>
        <w:jc w:val="both"/>
        <w:rPr>
          <w:rFonts w:ascii="Times New Roman" w:hAnsi="Times New Roman" w:cs="Times New Roman"/>
          <w:sz w:val="24"/>
          <w:szCs w:val="24"/>
          <w:lang w:val="en-US"/>
        </w:rPr>
      </w:pPr>
      <w:r w:rsidRPr="00092A59">
        <w:rPr>
          <w:rFonts w:ascii="Times New Roman" w:hAnsi="Times New Roman" w:cs="Times New Roman"/>
          <w:sz w:val="24"/>
          <w:szCs w:val="24"/>
          <w:lang w:val="en-US"/>
        </w:rPr>
        <w:t xml:space="preserve">The countries of the intersections of clusters 3E and 2R are characterized by average values of efficiency estimates and low values of technical conformity assessments. The countries of </w:t>
      </w:r>
      <w:r w:rsidR="00D57F9D" w:rsidRPr="00092A59">
        <w:rPr>
          <w:rFonts w:ascii="Times New Roman" w:hAnsi="Times New Roman" w:cs="Times New Roman"/>
          <w:sz w:val="24"/>
          <w:szCs w:val="24"/>
          <w:lang w:val="en-US"/>
        </w:rPr>
        <w:t xml:space="preserve">clusters </w:t>
      </w:r>
      <w:r w:rsidRPr="00092A59">
        <w:rPr>
          <w:rFonts w:ascii="Times New Roman" w:hAnsi="Times New Roman" w:cs="Times New Roman"/>
          <w:sz w:val="24"/>
          <w:szCs w:val="24"/>
          <w:lang w:val="en-US"/>
        </w:rPr>
        <w:t>3E and 2R are Costa Rica and Honduras.</w:t>
      </w:r>
    </w:p>
    <w:p w:rsidR="00162C14" w:rsidRPr="00092A59" w:rsidRDefault="00092A59" w:rsidP="000E4965">
      <w:pPr>
        <w:spacing w:after="0" w:line="360" w:lineRule="auto"/>
        <w:jc w:val="both"/>
        <w:rPr>
          <w:rFonts w:ascii="Times New Roman" w:hAnsi="Times New Roman" w:cs="Times New Roman"/>
          <w:sz w:val="24"/>
          <w:szCs w:val="24"/>
          <w:lang w:val="en-US"/>
        </w:rPr>
      </w:pPr>
      <w:r w:rsidRPr="00092A59">
        <w:rPr>
          <w:rFonts w:ascii="Times New Roman" w:hAnsi="Times New Roman" w:cs="Times New Roman"/>
          <w:sz w:val="24"/>
          <w:szCs w:val="24"/>
          <w:lang w:val="en-US"/>
        </w:rPr>
        <w:t>The countries of the crossing of clusters 2E and 1R are characterized by high assessments of technical compliance and low efficiency ratings. The countries of the intersection of clusters 1R and 2E are Ethiopia and Austria.</w:t>
      </w:r>
    </w:p>
    <w:p w:rsidR="00FA4007" w:rsidRPr="00FA4007" w:rsidRDefault="00FA4007" w:rsidP="000E4965">
      <w:pPr>
        <w:spacing w:after="0" w:line="360" w:lineRule="auto"/>
        <w:jc w:val="both"/>
        <w:rPr>
          <w:rFonts w:ascii="Times New Roman" w:hAnsi="Times New Roman" w:cs="Times New Roman"/>
          <w:sz w:val="24"/>
          <w:szCs w:val="24"/>
          <w:lang w:val="en-US"/>
        </w:rPr>
      </w:pPr>
      <w:r w:rsidRPr="00FA4007">
        <w:rPr>
          <w:rFonts w:ascii="Times New Roman" w:hAnsi="Times New Roman" w:cs="Times New Roman"/>
          <w:sz w:val="24"/>
          <w:szCs w:val="24"/>
          <w:lang w:val="en-US"/>
        </w:rPr>
        <w:t>The countries of the intersection of clusters 2E and 3R are characterized by low efficiency ratings and average estimates of technical compliance. Cluster countries 2E and 3R include Bhutan, Vanuatu, Zimbabwe, Serbia, Trinidad and Tobago, Tunisia, Uganda, Sri Lanka.</w:t>
      </w:r>
    </w:p>
    <w:p w:rsidR="00162C14" w:rsidRPr="00FA4007" w:rsidRDefault="00FA4007" w:rsidP="000E4965">
      <w:pPr>
        <w:spacing w:line="360" w:lineRule="auto"/>
        <w:jc w:val="both"/>
        <w:rPr>
          <w:rFonts w:ascii="Times New Roman" w:hAnsi="Times New Roman" w:cs="Times New Roman"/>
          <w:sz w:val="24"/>
          <w:szCs w:val="24"/>
          <w:lang w:val="en-US"/>
        </w:rPr>
      </w:pPr>
      <w:r w:rsidRPr="00FA4007">
        <w:rPr>
          <w:rFonts w:ascii="Times New Roman" w:hAnsi="Times New Roman" w:cs="Times New Roman"/>
          <w:sz w:val="24"/>
          <w:szCs w:val="24"/>
          <w:lang w:val="en-US"/>
        </w:rPr>
        <w:t>The countries of the crossing of clusters 2E and 2R are characterized by low efficiency ratings and technical conformity assessments. Clusters 2E and 2R belong to Samoa.</w:t>
      </w:r>
    </w:p>
    <w:p w:rsidR="00DA5564" w:rsidRPr="00DA5564" w:rsidRDefault="00FA4007" w:rsidP="00D57F9D">
      <w:pPr>
        <w:spacing w:line="360" w:lineRule="auto"/>
        <w:jc w:val="both"/>
        <w:rPr>
          <w:rFonts w:ascii="Times New Roman" w:hAnsi="Times New Roman" w:cs="Times New Roman"/>
          <w:sz w:val="24"/>
          <w:szCs w:val="24"/>
          <w:lang w:val="en-US"/>
        </w:rPr>
      </w:pPr>
      <w:r w:rsidRPr="00FA4007">
        <w:rPr>
          <w:rFonts w:ascii="Times New Roman" w:hAnsi="Times New Roman" w:cs="Times New Roman"/>
          <w:sz w:val="24"/>
          <w:szCs w:val="24"/>
          <w:lang w:val="en-US"/>
        </w:rPr>
        <w:t xml:space="preserve">The absence of countries in </w:t>
      </w:r>
      <w:r w:rsidR="00D57F9D">
        <w:rPr>
          <w:rFonts w:ascii="Times New Roman" w:hAnsi="Times New Roman" w:cs="Times New Roman"/>
          <w:sz w:val="24"/>
          <w:szCs w:val="24"/>
          <w:lang w:val="en-US"/>
        </w:rPr>
        <w:t xml:space="preserve">the </w:t>
      </w:r>
      <w:r w:rsidRPr="00FA4007">
        <w:rPr>
          <w:rFonts w:ascii="Times New Roman" w:hAnsi="Times New Roman" w:cs="Times New Roman"/>
          <w:sz w:val="24"/>
          <w:szCs w:val="24"/>
          <w:lang w:val="en-US"/>
        </w:rPr>
        <w:t>crossing</w:t>
      </w:r>
      <w:r w:rsidR="00D57F9D">
        <w:rPr>
          <w:rFonts w:ascii="Times New Roman" w:hAnsi="Times New Roman" w:cs="Times New Roman"/>
          <w:sz w:val="24"/>
          <w:szCs w:val="24"/>
          <w:lang w:val="en-US"/>
        </w:rPr>
        <w:t xml:space="preserve"> of</w:t>
      </w:r>
      <w:r w:rsidRPr="00FA4007">
        <w:rPr>
          <w:rFonts w:ascii="Times New Roman" w:hAnsi="Times New Roman" w:cs="Times New Roman"/>
          <w:sz w:val="24"/>
          <w:szCs w:val="24"/>
          <w:lang w:val="en-US"/>
        </w:rPr>
        <w:t xml:space="preserve"> </w:t>
      </w:r>
      <w:r w:rsidR="00D57F9D" w:rsidRPr="00FA4007">
        <w:rPr>
          <w:rFonts w:ascii="Times New Roman" w:hAnsi="Times New Roman" w:cs="Times New Roman"/>
          <w:sz w:val="24"/>
          <w:szCs w:val="24"/>
          <w:lang w:val="en-US"/>
        </w:rPr>
        <w:t xml:space="preserve">clusters </w:t>
      </w:r>
      <w:r w:rsidRPr="00FA4007">
        <w:rPr>
          <w:rFonts w:ascii="Times New Roman" w:hAnsi="Times New Roman" w:cs="Times New Roman"/>
          <w:sz w:val="24"/>
          <w:szCs w:val="24"/>
          <w:lang w:val="en-US"/>
        </w:rPr>
        <w:t>2R and 1E suggests that it is impos</w:t>
      </w:r>
      <w:r>
        <w:rPr>
          <w:rFonts w:ascii="Times New Roman" w:hAnsi="Times New Roman" w:cs="Times New Roman"/>
          <w:sz w:val="24"/>
          <w:szCs w:val="24"/>
          <w:lang w:val="en-US"/>
        </w:rPr>
        <w:t>sible to build an effective AML/</w:t>
      </w:r>
      <w:r w:rsidRPr="00FA4007">
        <w:rPr>
          <w:rFonts w:ascii="Times New Roman" w:hAnsi="Times New Roman" w:cs="Times New Roman"/>
          <w:sz w:val="24"/>
          <w:szCs w:val="24"/>
          <w:lang w:val="en-US"/>
        </w:rPr>
        <w:t>CFT system without FATF standards. At the same time, the entry of countries into the intersections of clusters 1R and 2E indicates that compliance with the FATF standards is not a sufficient condition for achieving</w:t>
      </w:r>
      <w:r>
        <w:rPr>
          <w:rFonts w:ascii="Times New Roman" w:hAnsi="Times New Roman" w:cs="Times New Roman"/>
          <w:sz w:val="24"/>
          <w:szCs w:val="24"/>
          <w:lang w:val="en-US"/>
        </w:rPr>
        <w:t xml:space="preserve"> the effectiveness of the AML/</w:t>
      </w:r>
      <w:r w:rsidRPr="00FA4007">
        <w:rPr>
          <w:rFonts w:ascii="Times New Roman" w:hAnsi="Times New Roman" w:cs="Times New Roman"/>
          <w:sz w:val="24"/>
          <w:szCs w:val="24"/>
          <w:lang w:val="en-US"/>
        </w:rPr>
        <w:t>CFT system.</w:t>
      </w:r>
    </w:p>
    <w:p w:rsidR="006927E1" w:rsidRPr="000E4965" w:rsidRDefault="000E4965" w:rsidP="00DA5564">
      <w:pPr>
        <w:spacing w:line="360" w:lineRule="auto"/>
        <w:rPr>
          <w:rFonts w:ascii="Times New Roman" w:hAnsi="Times New Roman" w:cs="Times New Roman"/>
          <w:b/>
          <w:sz w:val="24"/>
          <w:szCs w:val="24"/>
          <w:shd w:val="clear" w:color="auto" w:fill="FFFFFF"/>
          <w:lang w:val="en-US"/>
        </w:rPr>
      </w:pPr>
      <w:r w:rsidRPr="000E4965">
        <w:rPr>
          <w:rFonts w:ascii="Times New Roman" w:hAnsi="Times New Roman" w:cs="Times New Roman"/>
          <w:b/>
          <w:sz w:val="24"/>
          <w:szCs w:val="24"/>
          <w:shd w:val="clear" w:color="auto" w:fill="FFFFFF"/>
          <w:lang w:val="en-US"/>
        </w:rPr>
        <w:t>Conclusion</w:t>
      </w:r>
    </w:p>
    <w:p w:rsidR="000313AC" w:rsidRPr="006927E1" w:rsidRDefault="006927E1" w:rsidP="00D57F9D">
      <w:pPr>
        <w:spacing w:after="0" w:line="360" w:lineRule="auto"/>
        <w:jc w:val="both"/>
        <w:rPr>
          <w:rFonts w:ascii="Times New Roman" w:hAnsi="Times New Roman" w:cs="Times New Roman"/>
          <w:sz w:val="24"/>
          <w:szCs w:val="24"/>
          <w:lang w:val="en-US"/>
        </w:rPr>
      </w:pPr>
      <w:r w:rsidRPr="006927E1">
        <w:rPr>
          <w:rFonts w:ascii="Times New Roman" w:hAnsi="Times New Roman" w:cs="Times New Roman"/>
          <w:sz w:val="24"/>
          <w:szCs w:val="24"/>
          <w:shd w:val="clear" w:color="auto" w:fill="FFFFFF"/>
          <w:lang w:val="en-US"/>
        </w:rPr>
        <w:t xml:space="preserve">By searching in open sources of information, </w:t>
      </w:r>
      <w:r w:rsidR="00D57F9D">
        <w:rPr>
          <w:rFonts w:ascii="Times New Roman" w:hAnsi="Times New Roman" w:cs="Times New Roman"/>
          <w:sz w:val="24"/>
          <w:szCs w:val="24"/>
          <w:shd w:val="clear" w:color="auto" w:fill="FFFFFF"/>
          <w:lang w:val="en-US"/>
        </w:rPr>
        <w:t xml:space="preserve">it was possible to form </w:t>
      </w:r>
      <w:r w:rsidRPr="006927E1">
        <w:rPr>
          <w:rFonts w:ascii="Times New Roman" w:hAnsi="Times New Roman" w:cs="Times New Roman"/>
          <w:sz w:val="24"/>
          <w:szCs w:val="24"/>
          <w:shd w:val="clear" w:color="auto" w:fill="FFFFFF"/>
          <w:lang w:val="en-US"/>
        </w:rPr>
        <w:t>an array of data on assessments of the efficiency and technical conformity of countries. The array formed served as the basis for the calculated estimates that were loaded into the database for subsequent structuring and analysis.</w:t>
      </w:r>
      <w:r w:rsidR="000313AC" w:rsidRPr="006927E1">
        <w:rPr>
          <w:rFonts w:ascii="Times New Roman" w:hAnsi="Times New Roman" w:cs="Times New Roman"/>
          <w:sz w:val="24"/>
          <w:szCs w:val="24"/>
          <w:lang w:val="en-US"/>
        </w:rPr>
        <w:t xml:space="preserve"> </w:t>
      </w:r>
    </w:p>
    <w:p w:rsidR="00927197" w:rsidRPr="000E4965" w:rsidRDefault="00C67C2D" w:rsidP="00DA5564">
      <w:pPr>
        <w:spacing w:line="360" w:lineRule="auto"/>
        <w:jc w:val="both"/>
        <w:rPr>
          <w:rFonts w:ascii="Times New Roman" w:hAnsi="Times New Roman" w:cs="Times New Roman"/>
          <w:sz w:val="24"/>
          <w:szCs w:val="24"/>
          <w:shd w:val="clear" w:color="auto" w:fill="FFFFFF"/>
          <w:lang w:val="en-US"/>
        </w:rPr>
      </w:pPr>
      <w:r w:rsidRPr="00C67C2D">
        <w:rPr>
          <w:rFonts w:ascii="Times New Roman" w:hAnsi="Times New Roman" w:cs="Times New Roman"/>
          <w:sz w:val="24"/>
          <w:szCs w:val="24"/>
          <w:shd w:val="clear" w:color="auto" w:fill="FFFFFF"/>
          <w:lang w:val="en-US"/>
        </w:rPr>
        <w:lastRenderedPageBreak/>
        <w:t>As a result of the cluster analysis, groups of countries with similar problems were identified, the level of influence of each type of assessment on the qua</w:t>
      </w:r>
      <w:r>
        <w:rPr>
          <w:rFonts w:ascii="Times New Roman" w:hAnsi="Times New Roman" w:cs="Times New Roman"/>
          <w:sz w:val="24"/>
          <w:szCs w:val="24"/>
          <w:shd w:val="clear" w:color="auto" w:fill="FFFFFF"/>
          <w:lang w:val="en-US"/>
        </w:rPr>
        <w:t>lity of the international AML/</w:t>
      </w:r>
      <w:r w:rsidRPr="00C67C2D">
        <w:rPr>
          <w:rFonts w:ascii="Times New Roman" w:hAnsi="Times New Roman" w:cs="Times New Roman"/>
          <w:sz w:val="24"/>
          <w:szCs w:val="24"/>
          <w:shd w:val="clear" w:color="auto" w:fill="FFFFFF"/>
          <w:lang w:val="en-US"/>
        </w:rPr>
        <w:t>CFT system was assessed.</w:t>
      </w:r>
    </w:p>
    <w:p w:rsidR="00927197" w:rsidRPr="00927197" w:rsidRDefault="00927197" w:rsidP="000E4965">
      <w:pPr>
        <w:pStyle w:val="5"/>
        <w:spacing w:before="360" w:after="240"/>
        <w:ind w:left="426"/>
        <w:rPr>
          <w:color w:val="000000"/>
          <w:sz w:val="24"/>
          <w:shd w:val="clear" w:color="auto" w:fill="FFFFFF"/>
        </w:rPr>
      </w:pPr>
      <w:r w:rsidRPr="00DE7C5C">
        <w:rPr>
          <w:lang w:val="ru-RU" w:eastAsia="ru-RU"/>
        </w:rPr>
        <w:drawing>
          <wp:inline distT="0" distB="0" distL="0" distR="0" wp14:anchorId="0B26EEC0" wp14:editId="6FA1EC87">
            <wp:extent cx="5732060" cy="3439236"/>
            <wp:effectExtent l="0" t="0" r="2540" b="889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745928" cy="3447557"/>
                    </a:xfrm>
                    <a:prstGeom prst="rect">
                      <a:avLst/>
                    </a:prstGeom>
                  </pic:spPr>
                </pic:pic>
              </a:graphicData>
            </a:graphic>
          </wp:inline>
        </w:drawing>
      </w:r>
    </w:p>
    <w:p w:rsidR="00927197" w:rsidRPr="00BB103B" w:rsidRDefault="00927197" w:rsidP="00BB103B">
      <w:pPr>
        <w:ind w:left="426"/>
        <w:jc w:val="center"/>
        <w:rPr>
          <w:rFonts w:ascii="Times New Roman" w:hAnsi="Times New Roman" w:cs="Times New Roman"/>
          <w:color w:val="auto"/>
          <w:sz w:val="20"/>
          <w:lang w:val="en-US" w:eastAsia="en-US"/>
        </w:rPr>
      </w:pPr>
      <w:r w:rsidRPr="00927197">
        <w:rPr>
          <w:rFonts w:ascii="Times New Roman" w:hAnsi="Times New Roman" w:cs="Times New Roman"/>
          <w:sz w:val="20"/>
          <w:lang w:val="en-US"/>
        </w:rPr>
        <w:br/>
      </w:r>
      <w:r w:rsidR="000E4965" w:rsidRPr="000E4965">
        <w:rPr>
          <w:rFonts w:ascii="Times New Roman" w:hAnsi="Times New Roman" w:cs="Times New Roman"/>
          <w:color w:val="auto"/>
          <w:sz w:val="20"/>
          <w:shd w:val="clear" w:color="auto" w:fill="FFFFFF"/>
          <w:lang w:val="en-US"/>
        </w:rPr>
        <w:t xml:space="preserve">Fig. 2 </w:t>
      </w:r>
      <w:r w:rsidR="000E4965" w:rsidRPr="000E4965">
        <w:rPr>
          <w:rFonts w:ascii="Times New Roman" w:hAnsi="Times New Roman" w:cs="Times New Roman"/>
          <w:color w:val="auto"/>
          <w:sz w:val="20"/>
          <w:szCs w:val="20"/>
          <w:lang w:val="en-US"/>
        </w:rPr>
        <w:t xml:space="preserve">— </w:t>
      </w:r>
      <w:r w:rsidR="000E4965" w:rsidRPr="000E4965">
        <w:rPr>
          <w:rFonts w:ascii="Times New Roman" w:hAnsi="Times New Roman" w:cs="Times New Roman"/>
          <w:color w:val="auto"/>
          <w:sz w:val="20"/>
          <w:shd w:val="clear" w:color="auto" w:fill="FFFFFF"/>
          <w:lang w:val="en-US"/>
        </w:rPr>
        <w:t>Cross-cutting of cluster elements for technical conformity assessments and efficiency assessments</w:t>
      </w:r>
    </w:p>
    <w:p w:rsidR="00927197" w:rsidRPr="00927197" w:rsidRDefault="00927197" w:rsidP="000E4965">
      <w:pPr>
        <w:ind w:left="426"/>
        <w:rPr>
          <w:lang w:val="en-US" w:eastAsia="en-US"/>
        </w:rPr>
        <w:sectPr w:rsidR="00927197" w:rsidRPr="00927197" w:rsidSect="000E4965">
          <w:type w:val="continuous"/>
          <w:pgSz w:w="12240" w:h="15840"/>
          <w:pgMar w:top="1134" w:right="1134" w:bottom="1134" w:left="1134" w:header="709" w:footer="709" w:gutter="0"/>
          <w:cols w:space="357"/>
          <w:docGrid w:linePitch="299"/>
        </w:sectPr>
      </w:pPr>
    </w:p>
    <w:p w:rsidR="00BB103B" w:rsidRPr="00BB103B" w:rsidRDefault="00BB103B" w:rsidP="000E4965">
      <w:pPr>
        <w:spacing w:after="0" w:line="360" w:lineRule="auto"/>
        <w:ind w:right="-1"/>
        <w:jc w:val="both"/>
        <w:rPr>
          <w:rFonts w:ascii="Times New Roman" w:hAnsi="Times New Roman" w:cs="Times New Roman"/>
          <w:sz w:val="24"/>
          <w:szCs w:val="28"/>
          <w:lang w:val="en-US"/>
        </w:rPr>
      </w:pPr>
      <w:r w:rsidRPr="00BB103B">
        <w:rPr>
          <w:rFonts w:ascii="Times New Roman" w:hAnsi="Times New Roman" w:cs="Times New Roman"/>
          <w:b/>
          <w:sz w:val="24"/>
          <w:szCs w:val="28"/>
          <w:lang w:val="en-US"/>
        </w:rPr>
        <w:lastRenderedPageBreak/>
        <w:t>Acknowledgements</w:t>
      </w:r>
      <w:r w:rsidRPr="00BB103B">
        <w:rPr>
          <w:rFonts w:ascii="Times New Roman" w:hAnsi="Times New Roman" w:cs="Times New Roman"/>
          <w:sz w:val="24"/>
          <w:szCs w:val="28"/>
          <w:lang w:val="en-US"/>
        </w:rPr>
        <w:br/>
        <w:t>This work was supported by Competitiveness Growth Program of the Federal Autonomous Educational Institution of Higher Education National Research Nuclear University MEPhI (Moscow</w:t>
      </w:r>
      <w:r>
        <w:rPr>
          <w:rFonts w:ascii="Times New Roman" w:hAnsi="Times New Roman" w:cs="Times New Roman"/>
          <w:sz w:val="24"/>
          <w:szCs w:val="28"/>
          <w:lang w:val="en-US"/>
        </w:rPr>
        <w:t xml:space="preserve"> Engineering Physics Institute)</w:t>
      </w:r>
      <w:r w:rsidRPr="00BB103B">
        <w:rPr>
          <w:rFonts w:ascii="Times New Roman" w:hAnsi="Times New Roman" w:cs="Times New Roman"/>
          <w:sz w:val="24"/>
          <w:szCs w:val="28"/>
          <w:lang w:val="en-US"/>
        </w:rPr>
        <w:t>.</w:t>
      </w:r>
    </w:p>
    <w:p w:rsidR="00DA5564" w:rsidRPr="00C40C13" w:rsidRDefault="00DA5564" w:rsidP="00DA5564">
      <w:pPr>
        <w:spacing w:after="0" w:line="360" w:lineRule="auto"/>
        <w:ind w:right="-1"/>
        <w:jc w:val="both"/>
        <w:rPr>
          <w:rFonts w:ascii="Times New Roman" w:hAnsi="Times New Roman" w:cs="Times New Roman"/>
          <w:b/>
          <w:sz w:val="24"/>
          <w:szCs w:val="28"/>
          <w:lang w:val="en-US"/>
        </w:rPr>
      </w:pPr>
    </w:p>
    <w:p w:rsidR="000313AC" w:rsidRPr="00DA5564" w:rsidRDefault="000E4965" w:rsidP="00DA5564">
      <w:pPr>
        <w:spacing w:after="0" w:line="360" w:lineRule="auto"/>
        <w:ind w:right="-1"/>
        <w:jc w:val="both"/>
        <w:rPr>
          <w:rFonts w:ascii="Times New Roman" w:hAnsi="Times New Roman" w:cs="Times New Roman"/>
          <w:b/>
          <w:sz w:val="24"/>
          <w:szCs w:val="28"/>
        </w:rPr>
      </w:pPr>
      <w:r w:rsidRPr="00BB103B">
        <w:rPr>
          <w:rFonts w:ascii="Times New Roman" w:hAnsi="Times New Roman" w:cs="Times New Roman"/>
          <w:b/>
          <w:sz w:val="24"/>
          <w:szCs w:val="28"/>
        </w:rPr>
        <w:t>References</w:t>
      </w:r>
    </w:p>
    <w:p w:rsidR="00C67C2D" w:rsidRPr="00BB103B" w:rsidRDefault="00C67C2D" w:rsidP="00BB103B">
      <w:pPr>
        <w:pStyle w:val="a4"/>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426" w:hanging="426"/>
        <w:contextualSpacing/>
        <w:jc w:val="both"/>
        <w:rPr>
          <w:rFonts w:ascii="Times New Roman" w:hAnsi="Times New Roman" w:cs="Times New Roman"/>
          <w:sz w:val="24"/>
          <w:lang w:val="en-US"/>
        </w:rPr>
      </w:pPr>
      <w:r w:rsidRPr="00BB103B">
        <w:rPr>
          <w:rFonts w:ascii="Times New Roman" w:hAnsi="Times New Roman" w:cs="Times New Roman"/>
          <w:sz w:val="24"/>
          <w:lang w:val="en-US"/>
        </w:rPr>
        <w:t>The Financial Action Task Force (FATF) [Electronic resource]. -Official site - Access mode: http://www.fatf-gafi.org/ (</w:t>
      </w:r>
      <w:r w:rsidRPr="00BB103B">
        <w:rPr>
          <w:rFonts w:ascii="Times New Roman" w:hAnsi="Times New Roman" w:cs="Times New Roman"/>
          <w:sz w:val="24"/>
          <w:szCs w:val="24"/>
          <w:lang w:val="en-US"/>
        </w:rPr>
        <w:t>visited on</w:t>
      </w:r>
      <w:r w:rsidR="00CF6288" w:rsidRPr="00BB103B">
        <w:rPr>
          <w:rFonts w:ascii="Times New Roman" w:hAnsi="Times New Roman" w:cs="Times New Roman"/>
          <w:sz w:val="24"/>
          <w:lang w:val="en-US"/>
        </w:rPr>
        <w:t>: 03.09.2017</w:t>
      </w:r>
      <w:r w:rsidRPr="00BB103B">
        <w:rPr>
          <w:rFonts w:ascii="Times New Roman" w:hAnsi="Times New Roman" w:cs="Times New Roman"/>
          <w:sz w:val="24"/>
          <w:lang w:val="en-US"/>
        </w:rPr>
        <w:t>).</w:t>
      </w:r>
    </w:p>
    <w:p w:rsidR="00C67C2D" w:rsidRPr="00BB103B" w:rsidRDefault="00C67C2D" w:rsidP="00BB103B">
      <w:pPr>
        <w:pStyle w:val="a4"/>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426" w:hanging="426"/>
        <w:contextualSpacing/>
        <w:jc w:val="both"/>
        <w:rPr>
          <w:rFonts w:ascii="Times New Roman" w:hAnsi="Times New Roman" w:cs="Times New Roman"/>
          <w:sz w:val="24"/>
          <w:lang w:val="en-US"/>
        </w:rPr>
      </w:pPr>
      <w:r w:rsidRPr="00BB103B">
        <w:rPr>
          <w:rFonts w:ascii="Times New Roman" w:hAnsi="Times New Roman" w:cs="Times New Roman"/>
          <w:sz w:val="24"/>
          <w:lang w:val="en-US"/>
        </w:rPr>
        <w:t>Eurasian Group on Combating Money Laundering and Financing of Terrorism [Electronic resource] Access mode: http://www.eurasiangroup.org/ (</w:t>
      </w:r>
      <w:r w:rsidRPr="00BB103B">
        <w:rPr>
          <w:rFonts w:ascii="Times New Roman" w:hAnsi="Times New Roman" w:cs="Times New Roman"/>
          <w:sz w:val="24"/>
          <w:szCs w:val="24"/>
          <w:lang w:val="en-US"/>
        </w:rPr>
        <w:t xml:space="preserve">visited on: </w:t>
      </w:r>
      <w:r w:rsidR="00CF6288" w:rsidRPr="00BB103B">
        <w:rPr>
          <w:rFonts w:ascii="Times New Roman" w:hAnsi="Times New Roman" w:cs="Times New Roman"/>
          <w:sz w:val="24"/>
          <w:lang w:val="en-US"/>
        </w:rPr>
        <w:t>03.09.2017</w:t>
      </w:r>
      <w:r w:rsidRPr="00BB103B">
        <w:rPr>
          <w:rFonts w:ascii="Times New Roman" w:hAnsi="Times New Roman" w:cs="Times New Roman"/>
          <w:sz w:val="24"/>
          <w:lang w:val="en-US"/>
        </w:rPr>
        <w:t>).</w:t>
      </w:r>
    </w:p>
    <w:p w:rsidR="00C67C2D" w:rsidRPr="00BB103B" w:rsidRDefault="00C67C2D" w:rsidP="00BB103B">
      <w:pPr>
        <w:pStyle w:val="a4"/>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426" w:hanging="426"/>
        <w:contextualSpacing/>
        <w:jc w:val="both"/>
        <w:rPr>
          <w:rFonts w:ascii="Times New Roman" w:hAnsi="Times New Roman" w:cs="Times New Roman"/>
          <w:sz w:val="24"/>
          <w:lang w:val="en-US"/>
        </w:rPr>
      </w:pPr>
      <w:r w:rsidRPr="00BB103B">
        <w:rPr>
          <w:rFonts w:ascii="Times New Roman" w:hAnsi="Times New Roman" w:cs="Times New Roman"/>
          <w:sz w:val="24"/>
          <w:lang w:val="en-US"/>
        </w:rPr>
        <w:t>Asia / Pacific Group on money laundering [Electronic resource]: Official website - Access mode: http://www.apgml.org/ (</w:t>
      </w:r>
      <w:r w:rsidRPr="00BB103B">
        <w:rPr>
          <w:rFonts w:ascii="Times New Roman" w:hAnsi="Times New Roman" w:cs="Times New Roman"/>
          <w:sz w:val="24"/>
          <w:szCs w:val="24"/>
          <w:lang w:val="en-US"/>
        </w:rPr>
        <w:t xml:space="preserve">visited on: </w:t>
      </w:r>
      <w:r w:rsidR="00CF6288" w:rsidRPr="00BB103B">
        <w:rPr>
          <w:rFonts w:ascii="Times New Roman" w:hAnsi="Times New Roman" w:cs="Times New Roman"/>
          <w:sz w:val="24"/>
          <w:lang w:val="en-US"/>
        </w:rPr>
        <w:t>03.09.2017</w:t>
      </w:r>
      <w:r w:rsidRPr="00BB103B">
        <w:rPr>
          <w:rFonts w:ascii="Times New Roman" w:hAnsi="Times New Roman" w:cs="Times New Roman"/>
          <w:sz w:val="24"/>
          <w:lang w:val="en-US"/>
        </w:rPr>
        <w:t>).</w:t>
      </w:r>
    </w:p>
    <w:p w:rsidR="00C67C2D" w:rsidRPr="00BB103B" w:rsidRDefault="00C67C2D" w:rsidP="00BB103B">
      <w:pPr>
        <w:pStyle w:val="a4"/>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426" w:hanging="426"/>
        <w:contextualSpacing/>
        <w:jc w:val="both"/>
        <w:rPr>
          <w:rFonts w:ascii="Times New Roman" w:hAnsi="Times New Roman" w:cs="Times New Roman"/>
          <w:sz w:val="24"/>
          <w:lang w:val="en-US"/>
        </w:rPr>
      </w:pPr>
      <w:r w:rsidRPr="00BB103B">
        <w:rPr>
          <w:rFonts w:ascii="Times New Roman" w:hAnsi="Times New Roman" w:cs="Times New Roman"/>
          <w:sz w:val="24"/>
          <w:lang w:val="en-US"/>
        </w:rPr>
        <w:lastRenderedPageBreak/>
        <w:t>Eastern and Southern Africa Anti-money Laundering Group: Official website - Access mode: http://www.esaamlg</w:t>
      </w:r>
      <w:r w:rsidRPr="00BB103B">
        <w:rPr>
          <w:rFonts w:ascii="Times New Roman" w:hAnsi="Times New Roman" w:cs="Times New Roman"/>
          <w:sz w:val="24"/>
          <w:szCs w:val="24"/>
          <w:lang w:val="en-US"/>
        </w:rPr>
        <w:t xml:space="preserve">.org/ (visited on: </w:t>
      </w:r>
      <w:r w:rsidR="00CF6288" w:rsidRPr="00BB103B">
        <w:rPr>
          <w:rFonts w:ascii="Times New Roman" w:hAnsi="Times New Roman" w:cs="Times New Roman"/>
          <w:sz w:val="24"/>
          <w:lang w:val="en-US"/>
        </w:rPr>
        <w:t>03.09.2017</w:t>
      </w:r>
      <w:r w:rsidRPr="00BB103B">
        <w:rPr>
          <w:rFonts w:ascii="Times New Roman" w:hAnsi="Times New Roman" w:cs="Times New Roman"/>
          <w:sz w:val="24"/>
          <w:szCs w:val="24"/>
          <w:lang w:val="en-US"/>
        </w:rPr>
        <w:t>).</w:t>
      </w:r>
      <w:r w:rsidRPr="00BB103B">
        <w:rPr>
          <w:rFonts w:ascii="Times New Roman" w:hAnsi="Times New Roman" w:cs="Times New Roman"/>
          <w:sz w:val="24"/>
          <w:lang w:val="en-US"/>
        </w:rPr>
        <w:t xml:space="preserve"> </w:t>
      </w:r>
    </w:p>
    <w:p w:rsidR="00C67C2D" w:rsidRPr="00BB103B" w:rsidRDefault="00C67C2D" w:rsidP="00BB103B">
      <w:pPr>
        <w:pStyle w:val="a4"/>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426" w:hanging="426"/>
        <w:contextualSpacing/>
        <w:jc w:val="both"/>
        <w:rPr>
          <w:rFonts w:ascii="Times New Roman" w:hAnsi="Times New Roman" w:cs="Times New Roman"/>
          <w:sz w:val="24"/>
          <w:lang w:val="en-US"/>
        </w:rPr>
      </w:pPr>
      <w:r w:rsidRPr="00BB103B">
        <w:rPr>
          <w:rFonts w:ascii="Times New Roman" w:hAnsi="Times New Roman" w:cs="Times New Roman"/>
          <w:sz w:val="24"/>
          <w:lang w:val="en-US"/>
        </w:rPr>
        <w:t xml:space="preserve">The Financial Action Task Force of Latin America [Official site - Access mode: http://www.gafilat.org/ (visited on: </w:t>
      </w:r>
      <w:r w:rsidR="00CF6288" w:rsidRPr="00BB103B">
        <w:rPr>
          <w:rFonts w:ascii="Times New Roman" w:hAnsi="Times New Roman" w:cs="Times New Roman"/>
          <w:sz w:val="24"/>
          <w:lang w:val="en-US"/>
        </w:rPr>
        <w:t>03.09.2017</w:t>
      </w:r>
      <w:r w:rsidRPr="00BB103B">
        <w:rPr>
          <w:rFonts w:ascii="Times New Roman" w:hAnsi="Times New Roman" w:cs="Times New Roman"/>
          <w:sz w:val="24"/>
          <w:lang w:val="en-US"/>
        </w:rPr>
        <w:t>).</w:t>
      </w:r>
    </w:p>
    <w:p w:rsidR="00C67C2D" w:rsidRPr="00BB103B" w:rsidRDefault="00C67C2D" w:rsidP="00BB103B">
      <w:pPr>
        <w:pStyle w:val="a4"/>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426" w:hanging="426"/>
        <w:contextualSpacing/>
        <w:jc w:val="both"/>
        <w:rPr>
          <w:rFonts w:ascii="Times New Roman" w:hAnsi="Times New Roman" w:cs="Times New Roman"/>
          <w:sz w:val="24"/>
          <w:lang w:val="en-US"/>
        </w:rPr>
      </w:pPr>
      <w:r w:rsidRPr="00BB103B">
        <w:rPr>
          <w:rFonts w:ascii="Times New Roman" w:hAnsi="Times New Roman" w:cs="Times New Roman"/>
          <w:sz w:val="24"/>
          <w:lang w:val="en-US"/>
        </w:rPr>
        <w:t xml:space="preserve">Middle East and North Africa Financial action Task force: Official website - Access mode: http://www.menafatf.org/ (visited on: </w:t>
      </w:r>
      <w:r w:rsidR="00CF6288" w:rsidRPr="00BB103B">
        <w:rPr>
          <w:rFonts w:ascii="Times New Roman" w:hAnsi="Times New Roman" w:cs="Times New Roman"/>
          <w:sz w:val="24"/>
          <w:lang w:val="en-US"/>
        </w:rPr>
        <w:t>03.09.2017</w:t>
      </w:r>
      <w:r w:rsidRPr="00BB103B">
        <w:rPr>
          <w:rFonts w:ascii="Times New Roman" w:hAnsi="Times New Roman" w:cs="Times New Roman"/>
          <w:sz w:val="24"/>
          <w:lang w:val="en-US"/>
        </w:rPr>
        <w:t>).</w:t>
      </w:r>
    </w:p>
    <w:p w:rsidR="00C67C2D" w:rsidRPr="00BB103B" w:rsidRDefault="00C67C2D" w:rsidP="00BB103B">
      <w:pPr>
        <w:pStyle w:val="a4"/>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426" w:hanging="426"/>
        <w:contextualSpacing/>
        <w:jc w:val="both"/>
        <w:rPr>
          <w:rFonts w:ascii="Times New Roman" w:hAnsi="Times New Roman" w:cs="Times New Roman"/>
          <w:sz w:val="24"/>
          <w:lang w:val="en-US"/>
        </w:rPr>
      </w:pPr>
      <w:r w:rsidRPr="00BB103B">
        <w:rPr>
          <w:rFonts w:ascii="Times New Roman" w:hAnsi="Times New Roman" w:cs="Times New Roman"/>
          <w:sz w:val="24"/>
          <w:lang w:val="en-US"/>
        </w:rPr>
        <w:t xml:space="preserve">Committee of Experts on the Evaluation of Anti-Money Laundering Measures and the Financing of Terrorism: Council of Europe - Access mode: http://www.coe.int/t/dghl/monitoring/moneyval/ (visited on: </w:t>
      </w:r>
      <w:r w:rsidR="00CF6288" w:rsidRPr="00BB103B">
        <w:rPr>
          <w:rFonts w:ascii="Times New Roman" w:hAnsi="Times New Roman" w:cs="Times New Roman"/>
          <w:sz w:val="24"/>
          <w:lang w:val="en-US"/>
        </w:rPr>
        <w:t>03.09.2017</w:t>
      </w:r>
      <w:r w:rsidRPr="00BB103B">
        <w:rPr>
          <w:rFonts w:ascii="Times New Roman" w:hAnsi="Times New Roman" w:cs="Times New Roman"/>
          <w:sz w:val="24"/>
          <w:lang w:val="en-US"/>
        </w:rPr>
        <w:t>).</w:t>
      </w:r>
    </w:p>
    <w:p w:rsidR="00C67C2D" w:rsidRPr="00BB103B" w:rsidRDefault="00C67C2D" w:rsidP="00BB103B">
      <w:pPr>
        <w:pStyle w:val="a4"/>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426" w:hanging="426"/>
        <w:contextualSpacing/>
        <w:jc w:val="both"/>
        <w:rPr>
          <w:rFonts w:ascii="Times New Roman" w:hAnsi="Times New Roman" w:cs="Times New Roman"/>
          <w:sz w:val="24"/>
          <w:lang w:val="en-US"/>
        </w:rPr>
      </w:pPr>
      <w:r w:rsidRPr="00BB103B">
        <w:rPr>
          <w:rFonts w:ascii="Times New Roman" w:hAnsi="Times New Roman" w:cs="Times New Roman"/>
          <w:sz w:val="24"/>
          <w:lang w:val="en-US"/>
        </w:rPr>
        <w:t xml:space="preserve"> Caribbean Financial Action Task Force [Official website] - Access mode: http://www.cfatf-gafic.org/ (visited on: </w:t>
      </w:r>
      <w:r w:rsidR="00CF6288" w:rsidRPr="00BB103B">
        <w:rPr>
          <w:rFonts w:ascii="Times New Roman" w:hAnsi="Times New Roman" w:cs="Times New Roman"/>
          <w:sz w:val="24"/>
          <w:lang w:val="en-US"/>
        </w:rPr>
        <w:t>03.09.2017</w:t>
      </w:r>
      <w:r w:rsidRPr="00BB103B">
        <w:rPr>
          <w:rFonts w:ascii="Times New Roman" w:hAnsi="Times New Roman" w:cs="Times New Roman"/>
          <w:sz w:val="24"/>
          <w:lang w:val="en-US"/>
        </w:rPr>
        <w:t>).</w:t>
      </w:r>
    </w:p>
    <w:p w:rsidR="00CF6288" w:rsidRPr="00BB103B" w:rsidRDefault="00CF6288" w:rsidP="00BB103B">
      <w:pPr>
        <w:pStyle w:val="a4"/>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426" w:hanging="426"/>
        <w:contextualSpacing/>
        <w:jc w:val="both"/>
        <w:rPr>
          <w:rFonts w:ascii="Times New Roman" w:hAnsi="Times New Roman" w:cs="Times New Roman"/>
          <w:sz w:val="24"/>
          <w:lang w:val="en-US"/>
        </w:rPr>
      </w:pPr>
      <w:r w:rsidRPr="00BB103B">
        <w:rPr>
          <w:rFonts w:ascii="Times New Roman" w:hAnsi="Times New Roman" w:cs="Times New Roman"/>
          <w:sz w:val="24"/>
          <w:lang w:val="en-US"/>
        </w:rPr>
        <w:t>The Inter-Governmental Action Group against Money Laundering in West Africa [Official website] - Access mode: http: // www.giaba.org/ (visited on: 03.12.2016).</w:t>
      </w:r>
    </w:p>
    <w:p w:rsidR="00BB103B" w:rsidRPr="00BB103B" w:rsidRDefault="00CF6288" w:rsidP="00BB103B">
      <w:pPr>
        <w:pStyle w:val="a4"/>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426" w:hanging="426"/>
        <w:contextualSpacing/>
        <w:jc w:val="both"/>
        <w:rPr>
          <w:rFonts w:ascii="Times New Roman" w:hAnsi="Times New Roman" w:cs="Times New Roman"/>
          <w:sz w:val="24"/>
          <w:lang w:val="en-US"/>
        </w:rPr>
      </w:pPr>
      <w:r w:rsidRPr="00BB103B">
        <w:rPr>
          <w:rFonts w:ascii="Times New Roman" w:hAnsi="Times New Roman" w:cs="Times New Roman"/>
          <w:sz w:val="24"/>
          <w:lang w:val="en-US"/>
        </w:rPr>
        <w:t>MSDN [Electronic resource]: Microsoft - Access mode: https://msdn.microsoft.com (visited on: 03.09.2017).</w:t>
      </w:r>
    </w:p>
    <w:p w:rsidR="00CF6288" w:rsidRPr="00BB103B" w:rsidRDefault="00CF6288" w:rsidP="00BB103B">
      <w:pPr>
        <w:pStyle w:val="a4"/>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426" w:hanging="426"/>
        <w:contextualSpacing/>
        <w:jc w:val="both"/>
        <w:rPr>
          <w:rFonts w:ascii="Times New Roman" w:hAnsi="Times New Roman" w:cs="Times New Roman"/>
          <w:sz w:val="24"/>
          <w:lang w:val="en-US"/>
        </w:rPr>
      </w:pPr>
      <w:r w:rsidRPr="00BB103B">
        <w:rPr>
          <w:rFonts w:ascii="Times New Roman" w:hAnsi="Times New Roman" w:cs="Times New Roman"/>
          <w:sz w:val="24"/>
          <w:lang w:val="en-US"/>
        </w:rPr>
        <w:t>National Open Institute INTUIT [Electronic resource]: Portal - Access mode: http://www.intuit.ru/ (visited on: 03.09.2017).</w:t>
      </w:r>
    </w:p>
    <w:p w:rsidR="00CF6288" w:rsidRPr="00BB103B" w:rsidRDefault="00CF6288" w:rsidP="00BB103B">
      <w:pPr>
        <w:pStyle w:val="a4"/>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426" w:hanging="426"/>
        <w:contextualSpacing/>
        <w:jc w:val="both"/>
        <w:rPr>
          <w:rFonts w:ascii="Times New Roman" w:hAnsi="Times New Roman" w:cs="Times New Roman"/>
          <w:sz w:val="24"/>
          <w:lang w:val="en-US"/>
        </w:rPr>
      </w:pPr>
      <w:r w:rsidRPr="00BB103B">
        <w:rPr>
          <w:rFonts w:ascii="Times New Roman" w:hAnsi="Times New Roman" w:cs="Times New Roman"/>
          <w:sz w:val="24"/>
          <w:lang w:val="en-US"/>
        </w:rPr>
        <w:t xml:space="preserve">Revenkov, P.V. Laundering of illegal proceeds: analysis of the problem and some recommendations / P.V. Revenkov, A.N. Voronin // Money and credit. - 2014. - №4. </w:t>
      </w:r>
      <w:r w:rsidRPr="00BB103B">
        <w:rPr>
          <w:rFonts w:ascii="Times New Roman" w:hAnsi="Times New Roman" w:cs="Times New Roman"/>
          <w:sz w:val="24"/>
        </w:rPr>
        <w:t>С</w:t>
      </w:r>
      <w:r w:rsidRPr="00BB103B">
        <w:rPr>
          <w:rFonts w:ascii="Times New Roman" w:hAnsi="Times New Roman" w:cs="Times New Roman"/>
          <w:sz w:val="24"/>
          <w:lang w:val="en-US"/>
        </w:rPr>
        <w:t>.30 - 35.</w:t>
      </w:r>
    </w:p>
    <w:p w:rsidR="00CF6288" w:rsidRPr="00CF6288" w:rsidRDefault="00CF6288" w:rsidP="00BB103B">
      <w:pPr>
        <w:pStyle w:val="a5"/>
        <w:numPr>
          <w:ilvl w:val="0"/>
          <w:numId w:val="17"/>
        </w:numPr>
        <w:spacing w:line="360" w:lineRule="auto"/>
        <w:ind w:left="426" w:hanging="426"/>
        <w:rPr>
          <w:sz w:val="24"/>
        </w:rPr>
      </w:pPr>
      <w:r w:rsidRPr="00CF6288">
        <w:rPr>
          <w:sz w:val="24"/>
        </w:rPr>
        <w:t>Methodology: Assessments of technical compliance with the recommendations of the FATF and the effectiveness of AML / CFT systems. - 2016. - 148 p.</w:t>
      </w:r>
    </w:p>
    <w:p w:rsidR="00475EB4" w:rsidRPr="00CF6288" w:rsidRDefault="00475EB4" w:rsidP="000E4965">
      <w:pPr>
        <w:spacing w:after="0" w:line="240" w:lineRule="auto"/>
        <w:ind w:left="426"/>
        <w:rPr>
          <w:rFonts w:ascii="Times New Roman" w:eastAsia="MS Mincho" w:hAnsi="Times New Roman" w:cs="Times New Roman"/>
          <w:color w:val="auto"/>
          <w:spacing w:val="-1"/>
          <w:sz w:val="20"/>
          <w:szCs w:val="20"/>
          <w:bdr w:val="none" w:sz="0" w:space="0" w:color="auto"/>
          <w:lang w:val="en-US" w:eastAsia="en-US"/>
        </w:rPr>
        <w:sectPr w:rsidR="00475EB4" w:rsidRPr="00CF6288" w:rsidSect="000E4965">
          <w:type w:val="continuous"/>
          <w:pgSz w:w="12240" w:h="15840"/>
          <w:pgMar w:top="1134" w:right="1134" w:bottom="1134" w:left="1134" w:header="709" w:footer="709" w:gutter="0"/>
          <w:cols w:space="357"/>
          <w:docGrid w:linePitch="299"/>
        </w:sectPr>
      </w:pPr>
    </w:p>
    <w:p w:rsidR="00D206BF" w:rsidRPr="00927197" w:rsidRDefault="00D206BF" w:rsidP="00927197">
      <w:pPr>
        <w:rPr>
          <w:lang w:val="en-US"/>
        </w:rPr>
      </w:pPr>
    </w:p>
    <w:sectPr w:rsidR="00D206BF" w:rsidRPr="00927197" w:rsidSect="000E4965">
      <w:type w:val="continuous"/>
      <w:pgSz w:w="12240" w:h="15840"/>
      <w:pgMar w:top="1134" w:right="1134" w:bottom="1134" w:left="1134" w:header="709" w:footer="709" w:gutter="0"/>
      <w:cols w:space="357"/>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0B3" w:rsidRDefault="000A10B3" w:rsidP="00C176E5">
      <w:pPr>
        <w:spacing w:after="0" w:line="240" w:lineRule="auto"/>
      </w:pPr>
      <w:r>
        <w:separator/>
      </w:r>
    </w:p>
  </w:endnote>
  <w:endnote w:type="continuationSeparator" w:id="0">
    <w:p w:rsidR="000A10B3" w:rsidRDefault="000A10B3" w:rsidP="00C17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223614"/>
      <w:docPartObj>
        <w:docPartGallery w:val="Page Numbers (Bottom of Page)"/>
        <w:docPartUnique/>
      </w:docPartObj>
    </w:sdtPr>
    <w:sdtEndPr/>
    <w:sdtContent>
      <w:p w:rsidR="000E4965" w:rsidRDefault="000E4965">
        <w:pPr>
          <w:pStyle w:val="af3"/>
          <w:jc w:val="right"/>
        </w:pPr>
        <w:r>
          <w:fldChar w:fldCharType="begin"/>
        </w:r>
        <w:r>
          <w:instrText>PAGE   \* MERGEFORMAT</w:instrText>
        </w:r>
        <w:r>
          <w:fldChar w:fldCharType="separate"/>
        </w:r>
        <w:r w:rsidR="002E59F5">
          <w:rPr>
            <w:noProof/>
          </w:rPr>
          <w:t>5</w:t>
        </w:r>
        <w:r>
          <w:fldChar w:fldCharType="end"/>
        </w:r>
      </w:p>
    </w:sdtContent>
  </w:sdt>
  <w:p w:rsidR="000E4965" w:rsidRDefault="000E4965">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0B3" w:rsidRDefault="000A10B3" w:rsidP="00C176E5">
      <w:pPr>
        <w:spacing w:after="0" w:line="240" w:lineRule="auto"/>
      </w:pPr>
      <w:r>
        <w:separator/>
      </w:r>
    </w:p>
  </w:footnote>
  <w:footnote w:type="continuationSeparator" w:id="0">
    <w:p w:rsidR="000A10B3" w:rsidRDefault="000A10B3" w:rsidP="00C176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81928"/>
    <w:multiLevelType w:val="hybridMultilevel"/>
    <w:tmpl w:val="06C4E8A4"/>
    <w:lvl w:ilvl="0" w:tplc="1018CE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766DF3"/>
    <w:multiLevelType w:val="multilevel"/>
    <w:tmpl w:val="8A52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32250D"/>
    <w:multiLevelType w:val="hybridMultilevel"/>
    <w:tmpl w:val="22A46664"/>
    <w:lvl w:ilvl="0" w:tplc="3B5225A8">
      <w:start w:val="6"/>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1FD01DA9"/>
    <w:multiLevelType w:val="hybridMultilevel"/>
    <w:tmpl w:val="35E2B1DC"/>
    <w:lvl w:ilvl="0" w:tplc="3B7C50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14119A"/>
    <w:multiLevelType w:val="hybridMultilevel"/>
    <w:tmpl w:val="F898802C"/>
    <w:lvl w:ilvl="0" w:tplc="DDEC2B4C">
      <w:start w:val="1"/>
      <w:numFmt w:val="bullet"/>
      <w:lvlText w:val="-"/>
      <w:lvlJc w:val="left"/>
      <w:pPr>
        <w:ind w:left="1428" w:hanging="360"/>
      </w:pPr>
      <w:rPr>
        <w:rFonts w:ascii="Courier New" w:eastAsia="Courier New" w:hAnsi="Courier New" w:hint="default"/>
        <w:w w:val="100"/>
        <w:sz w:val="28"/>
        <w:szCs w:val="28"/>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2F4B19F9"/>
    <w:multiLevelType w:val="hybridMultilevel"/>
    <w:tmpl w:val="5470D4B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318318D6"/>
    <w:multiLevelType w:val="hybridMultilevel"/>
    <w:tmpl w:val="0BBA2818"/>
    <w:lvl w:ilvl="0" w:tplc="04190001">
      <w:start w:val="1"/>
      <w:numFmt w:val="bullet"/>
      <w:lvlText w:val=""/>
      <w:lvlJc w:val="left"/>
      <w:pPr>
        <w:ind w:left="1428" w:hanging="360"/>
      </w:pPr>
      <w:rPr>
        <w:rFonts w:ascii="Symbol" w:hAnsi="Symbol" w:hint="default"/>
        <w:w w:val="100"/>
        <w:sz w:val="28"/>
        <w:szCs w:val="28"/>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396C175A"/>
    <w:multiLevelType w:val="hybridMultilevel"/>
    <w:tmpl w:val="2C9CA850"/>
    <w:lvl w:ilvl="0" w:tplc="C486F9D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3A8E1205"/>
    <w:multiLevelType w:val="hybridMultilevel"/>
    <w:tmpl w:val="0E8ED708"/>
    <w:lvl w:ilvl="0" w:tplc="DDEC2B4C">
      <w:start w:val="1"/>
      <w:numFmt w:val="bullet"/>
      <w:lvlText w:val="-"/>
      <w:lvlJc w:val="left"/>
      <w:pPr>
        <w:ind w:left="1428" w:hanging="360"/>
      </w:pPr>
      <w:rPr>
        <w:rFonts w:ascii="Courier New" w:eastAsia="Courier New" w:hAnsi="Courier New" w:hint="default"/>
        <w:w w:val="100"/>
        <w:sz w:val="28"/>
        <w:szCs w:val="28"/>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47803593"/>
    <w:multiLevelType w:val="hybridMultilevel"/>
    <w:tmpl w:val="3440C4AE"/>
    <w:lvl w:ilvl="0" w:tplc="DDEC2B4C">
      <w:start w:val="1"/>
      <w:numFmt w:val="bullet"/>
      <w:lvlText w:val="-"/>
      <w:lvlJc w:val="left"/>
      <w:pPr>
        <w:ind w:left="1428" w:hanging="360"/>
      </w:pPr>
      <w:rPr>
        <w:rFonts w:ascii="Courier New" w:eastAsia="Courier New" w:hAnsi="Courier New" w:hint="default"/>
        <w:w w:val="100"/>
        <w:sz w:val="28"/>
        <w:szCs w:val="28"/>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4DE804A3"/>
    <w:multiLevelType w:val="hybridMultilevel"/>
    <w:tmpl w:val="4358DEE6"/>
    <w:lvl w:ilvl="0" w:tplc="04190001">
      <w:start w:val="1"/>
      <w:numFmt w:val="bullet"/>
      <w:lvlText w:val=""/>
      <w:lvlJc w:val="left"/>
      <w:pPr>
        <w:ind w:left="1428" w:hanging="360"/>
      </w:pPr>
      <w:rPr>
        <w:rFonts w:ascii="Symbol" w:hAnsi="Symbol" w:hint="default"/>
        <w:w w:val="100"/>
        <w:sz w:val="28"/>
        <w:szCs w:val="28"/>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6CE904AE"/>
    <w:multiLevelType w:val="hybridMultilevel"/>
    <w:tmpl w:val="71CAC044"/>
    <w:lvl w:ilvl="0" w:tplc="DDEC2B4C">
      <w:start w:val="1"/>
      <w:numFmt w:val="bullet"/>
      <w:lvlText w:val="-"/>
      <w:lvlJc w:val="left"/>
      <w:pPr>
        <w:ind w:left="1428" w:hanging="360"/>
      </w:pPr>
      <w:rPr>
        <w:rFonts w:ascii="Courier New" w:eastAsia="Courier New" w:hAnsi="Courier New" w:hint="default"/>
        <w:w w:val="100"/>
        <w:sz w:val="28"/>
        <w:szCs w:val="28"/>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72AB4C14"/>
    <w:multiLevelType w:val="multilevel"/>
    <w:tmpl w:val="AC6E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452DB1"/>
    <w:multiLevelType w:val="hybridMultilevel"/>
    <w:tmpl w:val="466294F4"/>
    <w:lvl w:ilvl="0" w:tplc="04190001">
      <w:start w:val="1"/>
      <w:numFmt w:val="bullet"/>
      <w:lvlText w:val=""/>
      <w:lvlJc w:val="left"/>
      <w:pPr>
        <w:ind w:left="1428" w:hanging="360"/>
      </w:pPr>
      <w:rPr>
        <w:rFonts w:ascii="Symbol" w:hAnsi="Symbol" w:hint="default"/>
        <w:w w:val="100"/>
        <w:sz w:val="28"/>
        <w:szCs w:val="28"/>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782B4A74"/>
    <w:multiLevelType w:val="hybridMultilevel"/>
    <w:tmpl w:val="9A9827B6"/>
    <w:lvl w:ilvl="0" w:tplc="FEBAEE32">
      <w:start w:val="1"/>
      <w:numFmt w:val="decimal"/>
      <w:lvlText w:val="%1"/>
      <w:lvlJc w:val="left"/>
      <w:pPr>
        <w:ind w:left="1008" w:hanging="360"/>
      </w:pPr>
      <w:rPr>
        <w:rFonts w:ascii="Times New Roman" w:eastAsia="MS Mincho" w:hAnsi="Times New Roman" w:cs="Times New Roman"/>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5">
    <w:nsid w:val="785355CC"/>
    <w:multiLevelType w:val="hybridMultilevel"/>
    <w:tmpl w:val="8AE4C8AC"/>
    <w:lvl w:ilvl="0" w:tplc="04190001">
      <w:start w:val="1"/>
      <w:numFmt w:val="bullet"/>
      <w:lvlText w:val=""/>
      <w:lvlJc w:val="left"/>
      <w:pPr>
        <w:ind w:left="1428" w:hanging="360"/>
      </w:pPr>
      <w:rPr>
        <w:rFonts w:ascii="Symbol" w:hAnsi="Symbol" w:hint="default"/>
        <w:w w:val="100"/>
        <w:sz w:val="28"/>
        <w:szCs w:val="28"/>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7A9A445C"/>
    <w:multiLevelType w:val="hybridMultilevel"/>
    <w:tmpl w:val="76A4CE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4"/>
  </w:num>
  <w:num w:numId="4">
    <w:abstractNumId w:val="16"/>
  </w:num>
  <w:num w:numId="5">
    <w:abstractNumId w:val="9"/>
  </w:num>
  <w:num w:numId="6">
    <w:abstractNumId w:val="8"/>
  </w:num>
  <w:num w:numId="7">
    <w:abstractNumId w:val="11"/>
  </w:num>
  <w:num w:numId="8">
    <w:abstractNumId w:val="4"/>
  </w:num>
  <w:num w:numId="9">
    <w:abstractNumId w:val="6"/>
  </w:num>
  <w:num w:numId="10">
    <w:abstractNumId w:val="10"/>
  </w:num>
  <w:num w:numId="11">
    <w:abstractNumId w:val="15"/>
  </w:num>
  <w:num w:numId="12">
    <w:abstractNumId w:val="5"/>
  </w:num>
  <w:num w:numId="13">
    <w:abstractNumId w:val="13"/>
  </w:num>
  <w:num w:numId="14">
    <w:abstractNumId w:val="0"/>
  </w:num>
  <w:num w:numId="15">
    <w:abstractNumId w:val="7"/>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EB4"/>
    <w:rsid w:val="00022EDD"/>
    <w:rsid w:val="00026660"/>
    <w:rsid w:val="00027681"/>
    <w:rsid w:val="000313AC"/>
    <w:rsid w:val="00044CA2"/>
    <w:rsid w:val="000831F4"/>
    <w:rsid w:val="00092A59"/>
    <w:rsid w:val="000A10B3"/>
    <w:rsid w:val="000E4965"/>
    <w:rsid w:val="000E5BAA"/>
    <w:rsid w:val="00111CC4"/>
    <w:rsid w:val="00111EDC"/>
    <w:rsid w:val="00162C14"/>
    <w:rsid w:val="00175699"/>
    <w:rsid w:val="00184816"/>
    <w:rsid w:val="00185088"/>
    <w:rsid w:val="001A2B79"/>
    <w:rsid w:val="001E7934"/>
    <w:rsid w:val="00223AC0"/>
    <w:rsid w:val="00234144"/>
    <w:rsid w:val="002815F2"/>
    <w:rsid w:val="002A7FA5"/>
    <w:rsid w:val="002B46BB"/>
    <w:rsid w:val="002E59F5"/>
    <w:rsid w:val="003044D4"/>
    <w:rsid w:val="00320B24"/>
    <w:rsid w:val="0032130F"/>
    <w:rsid w:val="003336B2"/>
    <w:rsid w:val="00336876"/>
    <w:rsid w:val="003402EE"/>
    <w:rsid w:val="003858A6"/>
    <w:rsid w:val="003A290D"/>
    <w:rsid w:val="003A415B"/>
    <w:rsid w:val="003C3E32"/>
    <w:rsid w:val="003E04DF"/>
    <w:rsid w:val="003E1979"/>
    <w:rsid w:val="003F017B"/>
    <w:rsid w:val="004020FF"/>
    <w:rsid w:val="004026D7"/>
    <w:rsid w:val="004242A1"/>
    <w:rsid w:val="0045038A"/>
    <w:rsid w:val="004554F6"/>
    <w:rsid w:val="00463C43"/>
    <w:rsid w:val="00475EB4"/>
    <w:rsid w:val="00493BB8"/>
    <w:rsid w:val="004C332D"/>
    <w:rsid w:val="00513140"/>
    <w:rsid w:val="00526248"/>
    <w:rsid w:val="005342CC"/>
    <w:rsid w:val="00551285"/>
    <w:rsid w:val="00552CE0"/>
    <w:rsid w:val="00574728"/>
    <w:rsid w:val="005D0C90"/>
    <w:rsid w:val="005F4581"/>
    <w:rsid w:val="00633881"/>
    <w:rsid w:val="006371D7"/>
    <w:rsid w:val="00643246"/>
    <w:rsid w:val="00647149"/>
    <w:rsid w:val="006531DC"/>
    <w:rsid w:val="006927E1"/>
    <w:rsid w:val="006973AB"/>
    <w:rsid w:val="006E747D"/>
    <w:rsid w:val="00715787"/>
    <w:rsid w:val="00731845"/>
    <w:rsid w:val="00733785"/>
    <w:rsid w:val="00765395"/>
    <w:rsid w:val="007848CF"/>
    <w:rsid w:val="007C2907"/>
    <w:rsid w:val="007E7675"/>
    <w:rsid w:val="007F277F"/>
    <w:rsid w:val="007F38CC"/>
    <w:rsid w:val="00800A94"/>
    <w:rsid w:val="00812B86"/>
    <w:rsid w:val="008242B3"/>
    <w:rsid w:val="00825C01"/>
    <w:rsid w:val="008312EC"/>
    <w:rsid w:val="00880BDE"/>
    <w:rsid w:val="00882B55"/>
    <w:rsid w:val="00927197"/>
    <w:rsid w:val="00955BA6"/>
    <w:rsid w:val="009B2A57"/>
    <w:rsid w:val="009D5319"/>
    <w:rsid w:val="009F61FC"/>
    <w:rsid w:val="00A81333"/>
    <w:rsid w:val="00A953E4"/>
    <w:rsid w:val="00AA1CD3"/>
    <w:rsid w:val="00AB7258"/>
    <w:rsid w:val="00AC001A"/>
    <w:rsid w:val="00B01C06"/>
    <w:rsid w:val="00B2366C"/>
    <w:rsid w:val="00B25659"/>
    <w:rsid w:val="00B33A70"/>
    <w:rsid w:val="00B81CE5"/>
    <w:rsid w:val="00BB103B"/>
    <w:rsid w:val="00BB350C"/>
    <w:rsid w:val="00BB656B"/>
    <w:rsid w:val="00BC2FE3"/>
    <w:rsid w:val="00BE0533"/>
    <w:rsid w:val="00BE54E6"/>
    <w:rsid w:val="00C176E5"/>
    <w:rsid w:val="00C3755D"/>
    <w:rsid w:val="00C40C13"/>
    <w:rsid w:val="00C67C2D"/>
    <w:rsid w:val="00C71F6D"/>
    <w:rsid w:val="00CA5E39"/>
    <w:rsid w:val="00CF6288"/>
    <w:rsid w:val="00D00BFA"/>
    <w:rsid w:val="00D206BF"/>
    <w:rsid w:val="00D40496"/>
    <w:rsid w:val="00D4716F"/>
    <w:rsid w:val="00D57F9D"/>
    <w:rsid w:val="00D6156F"/>
    <w:rsid w:val="00D7087F"/>
    <w:rsid w:val="00D728BA"/>
    <w:rsid w:val="00DA5564"/>
    <w:rsid w:val="00DB1FA0"/>
    <w:rsid w:val="00DB2767"/>
    <w:rsid w:val="00DD35CB"/>
    <w:rsid w:val="00DE3FF2"/>
    <w:rsid w:val="00DE7C5C"/>
    <w:rsid w:val="00E138CD"/>
    <w:rsid w:val="00E30112"/>
    <w:rsid w:val="00E33EC8"/>
    <w:rsid w:val="00E62073"/>
    <w:rsid w:val="00E878AA"/>
    <w:rsid w:val="00EB3FEE"/>
    <w:rsid w:val="00ED6955"/>
    <w:rsid w:val="00EF1044"/>
    <w:rsid w:val="00EF701D"/>
    <w:rsid w:val="00F35582"/>
    <w:rsid w:val="00F6005E"/>
    <w:rsid w:val="00F679C6"/>
    <w:rsid w:val="00F93588"/>
    <w:rsid w:val="00FA2669"/>
    <w:rsid w:val="00FA4007"/>
    <w:rsid w:val="00FB312E"/>
    <w:rsid w:val="00FC1CCC"/>
    <w:rsid w:val="00FD0E5F"/>
    <w:rsid w:val="00FD675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D36672-5FD8-41C7-9FE8-BEC3EBA2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75EB4"/>
    <w:pPr>
      <w:pBdr>
        <w:top w:val="nil"/>
        <w:left w:val="nil"/>
        <w:bottom w:val="nil"/>
        <w:right w:val="nil"/>
        <w:between w:val="nil"/>
        <w:bar w:val="nil"/>
      </w:pBdr>
    </w:pPr>
    <w:rPr>
      <w:rFonts w:ascii="Calibri" w:eastAsia="Calibri" w:hAnsi="Calibri" w:cs="Calibri"/>
      <w:color w:val="000000"/>
      <w:u w:color="000000"/>
      <w:bdr w:val="nil"/>
      <w:lang w:eastAsia="ru-RU"/>
    </w:rPr>
  </w:style>
  <w:style w:type="paragraph" w:styleId="5">
    <w:name w:val="heading 5"/>
    <w:basedOn w:val="a"/>
    <w:next w:val="a"/>
    <w:link w:val="50"/>
    <w:uiPriority w:val="99"/>
    <w:qFormat/>
    <w:rsid w:val="00475EB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before="160" w:after="80" w:line="240" w:lineRule="auto"/>
      <w:jc w:val="center"/>
      <w:outlineLvl w:val="4"/>
    </w:pPr>
    <w:rPr>
      <w:rFonts w:ascii="Times New Roman" w:eastAsia="Times New Roman" w:hAnsi="Times New Roman" w:cs="Times New Roman"/>
      <w:smallCaps/>
      <w:noProof/>
      <w:color w:val="auto"/>
      <w:sz w:val="20"/>
      <w:szCs w:val="20"/>
      <w:bdr w:val="none" w:sz="0" w:space="0" w:color="auto"/>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475EB4"/>
    <w:rPr>
      <w:rFonts w:ascii="Times New Roman" w:eastAsia="Times New Roman" w:hAnsi="Times New Roman" w:cs="Times New Roman"/>
      <w:smallCaps/>
      <w:noProof/>
      <w:sz w:val="20"/>
      <w:szCs w:val="20"/>
      <w:u w:color="000000"/>
      <w:lang w:val="en-US"/>
    </w:rPr>
  </w:style>
  <w:style w:type="character" w:styleId="a3">
    <w:name w:val="Hyperlink"/>
    <w:rsid w:val="00475EB4"/>
    <w:rPr>
      <w:u w:val="single"/>
    </w:rPr>
  </w:style>
  <w:style w:type="paragraph" w:customStyle="1" w:styleId="Affiliation">
    <w:name w:val="Affiliation"/>
    <w:uiPriority w:val="99"/>
    <w:rsid w:val="00475EB4"/>
    <w:pPr>
      <w:pBdr>
        <w:top w:val="nil"/>
        <w:left w:val="nil"/>
        <w:bottom w:val="nil"/>
        <w:right w:val="nil"/>
        <w:between w:val="nil"/>
        <w:bar w:val="nil"/>
      </w:pBdr>
      <w:spacing w:after="0" w:line="240" w:lineRule="auto"/>
      <w:jc w:val="center"/>
    </w:pPr>
    <w:rPr>
      <w:rFonts w:ascii="Times New Roman" w:eastAsia="Arial Unicode MS" w:hAnsi="Times New Roman" w:cs="Arial Unicode MS"/>
      <w:color w:val="000000"/>
      <w:sz w:val="20"/>
      <w:szCs w:val="20"/>
      <w:u w:color="000000"/>
      <w:bdr w:val="nil"/>
      <w:lang w:val="en-US" w:eastAsia="ru-RU"/>
    </w:rPr>
  </w:style>
  <w:style w:type="paragraph" w:styleId="a4">
    <w:name w:val="List Paragraph"/>
    <w:uiPriority w:val="34"/>
    <w:qFormat/>
    <w:rsid w:val="00475EB4"/>
    <w:pPr>
      <w:pBdr>
        <w:top w:val="nil"/>
        <w:left w:val="nil"/>
        <w:bottom w:val="nil"/>
        <w:right w:val="nil"/>
        <w:between w:val="nil"/>
        <w:bar w:val="nil"/>
      </w:pBdr>
      <w:ind w:left="720"/>
    </w:pPr>
    <w:rPr>
      <w:rFonts w:ascii="Calibri" w:eastAsia="Calibri" w:hAnsi="Calibri" w:cs="Calibri"/>
      <w:color w:val="000000"/>
      <w:u w:color="000000"/>
      <w:bdr w:val="nil"/>
      <w:lang w:eastAsia="ru-RU"/>
    </w:rPr>
  </w:style>
  <w:style w:type="paragraph" w:styleId="a5">
    <w:name w:val="Body Text"/>
    <w:basedOn w:val="a"/>
    <w:link w:val="a6"/>
    <w:uiPriority w:val="99"/>
    <w:rsid w:val="00475EB4"/>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spacing w:after="120" w:line="228" w:lineRule="auto"/>
      <w:ind w:firstLine="288"/>
      <w:jc w:val="both"/>
    </w:pPr>
    <w:rPr>
      <w:rFonts w:ascii="Times New Roman" w:eastAsia="MS Mincho" w:hAnsi="Times New Roman" w:cs="Times New Roman"/>
      <w:color w:val="auto"/>
      <w:spacing w:val="-1"/>
      <w:sz w:val="20"/>
      <w:szCs w:val="20"/>
      <w:bdr w:val="none" w:sz="0" w:space="0" w:color="auto"/>
      <w:lang w:val="en-US" w:eastAsia="en-US"/>
    </w:rPr>
  </w:style>
  <w:style w:type="character" w:customStyle="1" w:styleId="a6">
    <w:name w:val="Основной текст Знак"/>
    <w:basedOn w:val="a0"/>
    <w:link w:val="a5"/>
    <w:uiPriority w:val="99"/>
    <w:rsid w:val="00475EB4"/>
    <w:rPr>
      <w:rFonts w:ascii="Times New Roman" w:eastAsia="MS Mincho" w:hAnsi="Times New Roman" w:cs="Times New Roman"/>
      <w:spacing w:val="-1"/>
      <w:sz w:val="20"/>
      <w:szCs w:val="20"/>
      <w:u w:color="000000"/>
      <w:lang w:val="en-US"/>
    </w:rPr>
  </w:style>
  <w:style w:type="paragraph" w:styleId="a7">
    <w:name w:val="Normal (Web)"/>
    <w:basedOn w:val="a"/>
    <w:uiPriority w:val="99"/>
    <w:unhideWhenUsed/>
    <w:rsid w:val="00475E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table" w:styleId="a8">
    <w:name w:val="Table Grid"/>
    <w:basedOn w:val="a1"/>
    <w:uiPriority w:val="59"/>
    <w:rsid w:val="00475EB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uiPriority w:val="20"/>
    <w:qFormat/>
    <w:rsid w:val="00475EB4"/>
    <w:rPr>
      <w:i/>
      <w:iCs/>
    </w:rPr>
  </w:style>
  <w:style w:type="character" w:customStyle="1" w:styleId="apple-converted-space">
    <w:name w:val="apple-converted-space"/>
    <w:basedOn w:val="a0"/>
    <w:rsid w:val="00475EB4"/>
  </w:style>
  <w:style w:type="character" w:styleId="aa">
    <w:name w:val="annotation reference"/>
    <w:basedOn w:val="a0"/>
    <w:uiPriority w:val="99"/>
    <w:semiHidden/>
    <w:unhideWhenUsed/>
    <w:rsid w:val="00185088"/>
    <w:rPr>
      <w:sz w:val="16"/>
      <w:szCs w:val="16"/>
    </w:rPr>
  </w:style>
  <w:style w:type="paragraph" w:styleId="ab">
    <w:name w:val="annotation text"/>
    <w:basedOn w:val="a"/>
    <w:link w:val="ac"/>
    <w:uiPriority w:val="99"/>
    <w:semiHidden/>
    <w:unhideWhenUsed/>
    <w:rsid w:val="00185088"/>
    <w:pPr>
      <w:spacing w:line="240" w:lineRule="auto"/>
    </w:pPr>
    <w:rPr>
      <w:sz w:val="20"/>
      <w:szCs w:val="20"/>
    </w:rPr>
  </w:style>
  <w:style w:type="character" w:customStyle="1" w:styleId="ac">
    <w:name w:val="Текст примечания Знак"/>
    <w:basedOn w:val="a0"/>
    <w:link w:val="ab"/>
    <w:uiPriority w:val="99"/>
    <w:semiHidden/>
    <w:rsid w:val="00185088"/>
    <w:rPr>
      <w:rFonts w:ascii="Calibri" w:eastAsia="Calibri" w:hAnsi="Calibri" w:cs="Calibri"/>
      <w:color w:val="000000"/>
      <w:sz w:val="20"/>
      <w:szCs w:val="20"/>
      <w:u w:color="000000"/>
      <w:bdr w:val="nil"/>
      <w:lang w:eastAsia="ru-RU"/>
    </w:rPr>
  </w:style>
  <w:style w:type="paragraph" w:styleId="ad">
    <w:name w:val="annotation subject"/>
    <w:basedOn w:val="ab"/>
    <w:next w:val="ab"/>
    <w:link w:val="ae"/>
    <w:uiPriority w:val="99"/>
    <w:semiHidden/>
    <w:unhideWhenUsed/>
    <w:rsid w:val="00185088"/>
    <w:rPr>
      <w:b/>
      <w:bCs/>
    </w:rPr>
  </w:style>
  <w:style w:type="character" w:customStyle="1" w:styleId="ae">
    <w:name w:val="Тема примечания Знак"/>
    <w:basedOn w:val="ac"/>
    <w:link w:val="ad"/>
    <w:uiPriority w:val="99"/>
    <w:semiHidden/>
    <w:rsid w:val="00185088"/>
    <w:rPr>
      <w:rFonts w:ascii="Calibri" w:eastAsia="Calibri" w:hAnsi="Calibri" w:cs="Calibri"/>
      <w:b/>
      <w:bCs/>
      <w:color w:val="000000"/>
      <w:sz w:val="20"/>
      <w:szCs w:val="20"/>
      <w:u w:color="000000"/>
      <w:bdr w:val="nil"/>
      <w:lang w:eastAsia="ru-RU"/>
    </w:rPr>
  </w:style>
  <w:style w:type="paragraph" w:styleId="af">
    <w:name w:val="Balloon Text"/>
    <w:basedOn w:val="a"/>
    <w:link w:val="af0"/>
    <w:uiPriority w:val="99"/>
    <w:semiHidden/>
    <w:unhideWhenUsed/>
    <w:rsid w:val="00185088"/>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185088"/>
    <w:rPr>
      <w:rFonts w:ascii="Segoe UI" w:eastAsia="Calibri" w:hAnsi="Segoe UI" w:cs="Segoe UI"/>
      <w:color w:val="000000"/>
      <w:sz w:val="18"/>
      <w:szCs w:val="18"/>
      <w:u w:color="000000"/>
      <w:bdr w:val="nil"/>
      <w:lang w:eastAsia="ru-RU"/>
    </w:rPr>
  </w:style>
  <w:style w:type="character" w:customStyle="1" w:styleId="keyword">
    <w:name w:val="keyword"/>
    <w:basedOn w:val="a0"/>
    <w:rsid w:val="003858A6"/>
  </w:style>
  <w:style w:type="paragraph" w:styleId="af1">
    <w:name w:val="header"/>
    <w:basedOn w:val="a"/>
    <w:link w:val="af2"/>
    <w:uiPriority w:val="99"/>
    <w:unhideWhenUsed/>
    <w:rsid w:val="00C176E5"/>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C176E5"/>
    <w:rPr>
      <w:rFonts w:ascii="Calibri" w:eastAsia="Calibri" w:hAnsi="Calibri" w:cs="Calibri"/>
      <w:color w:val="000000"/>
      <w:u w:color="000000"/>
      <w:bdr w:val="nil"/>
      <w:lang w:eastAsia="ru-RU"/>
    </w:rPr>
  </w:style>
  <w:style w:type="paragraph" w:styleId="af3">
    <w:name w:val="footer"/>
    <w:basedOn w:val="a"/>
    <w:link w:val="af4"/>
    <w:uiPriority w:val="99"/>
    <w:unhideWhenUsed/>
    <w:rsid w:val="00C176E5"/>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C176E5"/>
    <w:rPr>
      <w:rFonts w:ascii="Calibri" w:eastAsia="Calibri" w:hAnsi="Calibri" w:cs="Calibri"/>
      <w:color w:val="000000"/>
      <w:u w:color="000000"/>
      <w:bdr w:val="nil"/>
      <w:lang w:eastAsia="ru-RU"/>
    </w:rPr>
  </w:style>
  <w:style w:type="paragraph" w:styleId="HTML">
    <w:name w:val="HTML Preformatted"/>
    <w:basedOn w:val="a"/>
    <w:link w:val="HTML0"/>
    <w:uiPriority w:val="99"/>
    <w:semiHidden/>
    <w:unhideWhenUsed/>
    <w:rsid w:val="00B2565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bdr w:val="none" w:sz="0" w:space="0" w:color="auto"/>
    </w:rPr>
  </w:style>
  <w:style w:type="character" w:customStyle="1" w:styleId="HTML0">
    <w:name w:val="Стандартный HTML Знак"/>
    <w:basedOn w:val="a0"/>
    <w:link w:val="HTML"/>
    <w:uiPriority w:val="99"/>
    <w:semiHidden/>
    <w:rsid w:val="00B25659"/>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05762">
      <w:bodyDiv w:val="1"/>
      <w:marLeft w:val="0"/>
      <w:marRight w:val="0"/>
      <w:marTop w:val="0"/>
      <w:marBottom w:val="0"/>
      <w:divBdr>
        <w:top w:val="none" w:sz="0" w:space="0" w:color="auto"/>
        <w:left w:val="none" w:sz="0" w:space="0" w:color="auto"/>
        <w:bottom w:val="none" w:sz="0" w:space="0" w:color="auto"/>
        <w:right w:val="none" w:sz="0" w:space="0" w:color="auto"/>
      </w:divBdr>
    </w:div>
    <w:div w:id="926572151">
      <w:bodyDiv w:val="1"/>
      <w:marLeft w:val="0"/>
      <w:marRight w:val="0"/>
      <w:marTop w:val="0"/>
      <w:marBottom w:val="0"/>
      <w:divBdr>
        <w:top w:val="none" w:sz="0" w:space="0" w:color="auto"/>
        <w:left w:val="none" w:sz="0" w:space="0" w:color="auto"/>
        <w:bottom w:val="none" w:sz="0" w:space="0" w:color="auto"/>
        <w:right w:val="none" w:sz="0" w:space="0" w:color="auto"/>
      </w:divBdr>
    </w:div>
    <w:div w:id="1057318495">
      <w:bodyDiv w:val="1"/>
      <w:marLeft w:val="0"/>
      <w:marRight w:val="0"/>
      <w:marTop w:val="0"/>
      <w:marBottom w:val="0"/>
      <w:divBdr>
        <w:top w:val="none" w:sz="0" w:space="0" w:color="auto"/>
        <w:left w:val="none" w:sz="0" w:space="0" w:color="auto"/>
        <w:bottom w:val="none" w:sz="0" w:space="0" w:color="auto"/>
        <w:right w:val="none" w:sz="0" w:space="0" w:color="auto"/>
      </w:divBdr>
    </w:div>
    <w:div w:id="210634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9</Pages>
  <Words>2583</Words>
  <Characters>14726</Characters>
  <Application>Microsoft Office Word</Application>
  <DocSecurity>0</DocSecurity>
  <Lines>122</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17275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dc:creator>
  <cp:lastModifiedBy>Oleg</cp:lastModifiedBy>
  <cp:revision>15</cp:revision>
  <cp:lastPrinted>2017-06-10T19:46:00Z</cp:lastPrinted>
  <dcterms:created xsi:type="dcterms:W3CDTF">2017-11-24T10:52:00Z</dcterms:created>
  <dcterms:modified xsi:type="dcterms:W3CDTF">2017-12-05T16:32:00Z</dcterms:modified>
</cp:coreProperties>
</file>