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4B932" w14:textId="77777777" w:rsidR="00BC72B3" w:rsidRPr="000010A1" w:rsidRDefault="00BC72B3" w:rsidP="0021351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Analysis of Compliance Services in B</w:t>
      </w:r>
      <w:r w:rsidRPr="000010A1">
        <w:rPr>
          <w:rFonts w:ascii="Times New Roman" w:hAnsi="Times New Roman" w:cs="Times New Roman"/>
          <w:b/>
          <w:sz w:val="28"/>
          <w:szCs w:val="28"/>
          <w:lang w:val="en-US"/>
        </w:rPr>
        <w:t>anks of the Republic of Kazakhstan</w:t>
      </w:r>
    </w:p>
    <w:p w14:paraId="5431BB02" w14:textId="77777777" w:rsidR="00BC72B3" w:rsidRPr="000010A1" w:rsidRDefault="00BC72B3" w:rsidP="00BC72B3">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in Current Situation</w:t>
      </w:r>
    </w:p>
    <w:p w14:paraId="12E021B5" w14:textId="77777777" w:rsidR="00BC72B3" w:rsidRPr="000010A1" w:rsidRDefault="0021351E" w:rsidP="0021351E">
      <w:pPr>
        <w:spacing w:before="120" w:after="0" w:line="360" w:lineRule="auto"/>
        <w:ind w:firstLine="709"/>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N. B</w:t>
      </w:r>
      <w:r w:rsidRPr="000010A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BC72B3">
        <w:rPr>
          <w:rFonts w:ascii="Times New Roman" w:hAnsi="Times New Roman" w:cs="Times New Roman"/>
          <w:b/>
          <w:sz w:val="24"/>
          <w:szCs w:val="24"/>
          <w:lang w:val="en-US"/>
        </w:rPr>
        <w:t>Z</w:t>
      </w:r>
      <w:r w:rsidR="00BC72B3" w:rsidRPr="000010A1">
        <w:rPr>
          <w:rFonts w:ascii="Times New Roman" w:hAnsi="Times New Roman" w:cs="Times New Roman"/>
          <w:b/>
          <w:sz w:val="24"/>
          <w:szCs w:val="24"/>
          <w:lang w:val="en-US"/>
        </w:rPr>
        <w:t>hampeiis</w:t>
      </w:r>
      <w:r w:rsidR="00BC72B3" w:rsidRPr="000010A1">
        <w:rPr>
          <w:rFonts w:ascii="Times New Roman" w:hAnsi="Times New Roman" w:cs="Times New Roman"/>
          <w:b/>
          <w:sz w:val="24"/>
          <w:szCs w:val="24"/>
          <w:vertAlign w:val="superscript"/>
          <w:lang w:val="en-US"/>
        </w:rPr>
        <w:t>1</w:t>
      </w:r>
    </w:p>
    <w:p w14:paraId="3B79D866" w14:textId="77777777" w:rsidR="00BC72B3" w:rsidRPr="000010A1" w:rsidRDefault="00BC72B3" w:rsidP="0021351E">
      <w:pPr>
        <w:spacing w:before="120" w:after="0" w:line="240" w:lineRule="auto"/>
        <w:ind w:left="709"/>
        <w:rPr>
          <w:rFonts w:ascii="Times New Roman" w:hAnsi="Times New Roman" w:cs="Times New Roman"/>
          <w:i/>
          <w:sz w:val="24"/>
          <w:szCs w:val="24"/>
          <w:lang w:val="en-US"/>
        </w:rPr>
      </w:pPr>
      <w:r w:rsidRPr="000010A1">
        <w:rPr>
          <w:rFonts w:ascii="Times New Roman" w:hAnsi="Times New Roman" w:cs="Times New Roman"/>
          <w:color w:val="000000"/>
          <w:sz w:val="24"/>
          <w:szCs w:val="24"/>
          <w:shd w:val="clear" w:color="auto" w:fill="FFFFFF"/>
          <w:vertAlign w:val="superscript"/>
          <w:lang w:val="en-US"/>
        </w:rPr>
        <w:t>1</w:t>
      </w:r>
      <w:r w:rsidRPr="000010A1">
        <w:rPr>
          <w:rFonts w:ascii="Times New Roman" w:hAnsi="Times New Roman"/>
          <w:i/>
          <w:noProof/>
          <w:sz w:val="24"/>
          <w:szCs w:val="24"/>
          <w:lang w:val="en-US"/>
        </w:rPr>
        <w:t xml:space="preserve"> </w:t>
      </w:r>
      <w:r w:rsidRPr="000010A1">
        <w:rPr>
          <w:rFonts w:ascii="Times New Roman" w:hAnsi="Times New Roman" w:cs="Times New Roman"/>
          <w:i/>
          <w:sz w:val="24"/>
          <w:szCs w:val="24"/>
          <w:lang w:val="en-US"/>
        </w:rPr>
        <w:t>National Research Nuclear University MEPhI (Moscow Engineering Physics Institute),</w:t>
      </w:r>
      <w:r>
        <w:rPr>
          <w:rFonts w:ascii="Times New Roman" w:hAnsi="Times New Roman" w:cs="Times New Roman"/>
          <w:i/>
          <w:sz w:val="24"/>
          <w:szCs w:val="24"/>
          <w:lang w:val="en-US"/>
        </w:rPr>
        <w:t xml:space="preserve"> Master, </w:t>
      </w:r>
      <w:r w:rsidRPr="000010A1">
        <w:rPr>
          <w:rFonts w:ascii="Times New Roman" w:hAnsi="Times New Roman" w:cs="Times New Roman"/>
          <w:i/>
          <w:sz w:val="24"/>
          <w:szCs w:val="24"/>
          <w:lang w:val="en-US"/>
        </w:rPr>
        <w:t>Kashirskoe shosse 31, Moscow, 115409, Russia</w:t>
      </w:r>
    </w:p>
    <w:p w14:paraId="4C6F8B02" w14:textId="77777777" w:rsidR="00BC72B3" w:rsidRPr="00BC4E4A" w:rsidRDefault="00BC72B3" w:rsidP="0021351E">
      <w:pPr>
        <w:spacing w:before="240"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Z</w:t>
      </w:r>
      <w:r w:rsidRPr="000010A1">
        <w:rPr>
          <w:rFonts w:ascii="Times New Roman" w:hAnsi="Times New Roman" w:cs="Times New Roman"/>
          <w:sz w:val="24"/>
          <w:szCs w:val="24"/>
          <w:lang w:val="en-US"/>
        </w:rPr>
        <w:t>hampeiis</w:t>
      </w:r>
      <w:r>
        <w:rPr>
          <w:rFonts w:ascii="Times New Roman" w:hAnsi="Times New Roman" w:cs="Times New Roman"/>
          <w:sz w:val="24"/>
          <w:szCs w:val="24"/>
          <w:lang w:val="en-US"/>
        </w:rPr>
        <w:t xml:space="preserve"> N. B</w:t>
      </w:r>
      <w:r w:rsidRPr="000010A1">
        <w:rPr>
          <w:rFonts w:ascii="Times New Roman" w:hAnsi="Times New Roman" w:cs="Times New Roman"/>
          <w:sz w:val="24"/>
          <w:szCs w:val="24"/>
          <w:lang w:val="en-US"/>
        </w:rPr>
        <w:t>.: ORCiD 0000-0001-6477-6973</w:t>
      </w:r>
    </w:p>
    <w:p w14:paraId="6E34B047" w14:textId="77777777" w:rsidR="00BC72B3" w:rsidRPr="000010A1" w:rsidRDefault="00BC72B3" w:rsidP="0021351E">
      <w:pPr>
        <w:spacing w:after="0" w:line="360" w:lineRule="auto"/>
        <w:ind w:right="-1" w:firstLine="709"/>
        <w:rPr>
          <w:rFonts w:ascii="Times New Roman" w:hAnsi="Times New Roman" w:cs="Times New Roman"/>
          <w:sz w:val="24"/>
          <w:szCs w:val="24"/>
          <w:lang w:val="en-US"/>
        </w:rPr>
      </w:pPr>
      <w:r w:rsidRPr="000010A1">
        <w:rPr>
          <w:rFonts w:ascii="Times New Roman" w:hAnsi="Times New Roman" w:cs="Times New Roman"/>
          <w:sz w:val="24"/>
          <w:szCs w:val="24"/>
          <w:lang w:val="en-US"/>
        </w:rPr>
        <w:t>Corresponding Auth</w:t>
      </w:r>
      <w:r>
        <w:rPr>
          <w:rFonts w:ascii="Times New Roman" w:hAnsi="Times New Roman" w:cs="Times New Roman"/>
          <w:sz w:val="24"/>
          <w:szCs w:val="24"/>
          <w:lang w:val="en-US"/>
        </w:rPr>
        <w:t>or:</w:t>
      </w:r>
      <w:r w:rsidRPr="000010A1">
        <w:rPr>
          <w:lang w:val="en-US"/>
        </w:rPr>
        <w:t xml:space="preserve"> </w:t>
      </w:r>
      <w:r w:rsidRPr="000010A1">
        <w:rPr>
          <w:rFonts w:ascii="Times New Roman" w:hAnsi="Times New Roman" w:cs="Times New Roman"/>
          <w:sz w:val="24"/>
          <w:szCs w:val="24"/>
          <w:lang w:val="en-US"/>
        </w:rPr>
        <w:t>Zhampeiis</w:t>
      </w:r>
      <w:r>
        <w:rPr>
          <w:rFonts w:ascii="Times New Roman" w:hAnsi="Times New Roman" w:cs="Times New Roman"/>
          <w:sz w:val="24"/>
          <w:szCs w:val="24"/>
          <w:lang w:val="en-US"/>
        </w:rPr>
        <w:t xml:space="preserve"> N. B., E-mail: </w:t>
      </w:r>
      <w:r w:rsidRPr="000010A1">
        <w:rPr>
          <w:rFonts w:ascii="Times New Roman" w:hAnsi="Times New Roman" w:cs="Times New Roman"/>
          <w:sz w:val="24"/>
          <w:szCs w:val="24"/>
          <w:lang w:val="en-US"/>
        </w:rPr>
        <w:t>nazerkezhampeiis@gmail.com</w:t>
      </w:r>
    </w:p>
    <w:p w14:paraId="765B8ADA" w14:textId="77777777" w:rsidR="00BC72B3" w:rsidRPr="00BC4E4A" w:rsidRDefault="00BC72B3" w:rsidP="0021351E">
      <w:pPr>
        <w:spacing w:after="0" w:line="240" w:lineRule="auto"/>
        <w:ind w:left="709" w:right="-1"/>
        <w:jc w:val="both"/>
        <w:rPr>
          <w:rFonts w:ascii="Times New Roman" w:hAnsi="Times New Roman" w:cs="Times New Roman"/>
          <w:sz w:val="24"/>
          <w:szCs w:val="24"/>
          <w:lang w:val="en-US"/>
        </w:rPr>
      </w:pPr>
      <w:r w:rsidRPr="000010A1">
        <w:rPr>
          <w:rFonts w:ascii="Times New Roman" w:hAnsi="Times New Roman" w:cs="Times New Roman"/>
          <w:b/>
          <w:sz w:val="24"/>
          <w:szCs w:val="24"/>
          <w:lang w:val="en-US"/>
        </w:rPr>
        <w:t xml:space="preserve">Abstract: </w:t>
      </w:r>
      <w:r w:rsidRPr="000010A1">
        <w:rPr>
          <w:rFonts w:ascii="Times New Roman" w:hAnsi="Times New Roman" w:cs="Times New Roman"/>
          <w:sz w:val="24"/>
          <w:szCs w:val="24"/>
          <w:lang w:val="en-US"/>
        </w:rPr>
        <w:t>the article highlights and describes the specifics of compliance in regulated banks of the Republic of Kazakhstan. Comparison of economic indicators, regulatory documentation, violations and sanctions for internal control, as well as a survey of the studied banks were conducted. Particular attention is paid to problematic issues in compliance control activities and recommendations for improving the AML/CFT system.</w:t>
      </w:r>
    </w:p>
    <w:p w14:paraId="30EABF2A" w14:textId="77777777" w:rsidR="00BC72B3" w:rsidRPr="00BC4E4A" w:rsidRDefault="00BC72B3" w:rsidP="0021351E">
      <w:pPr>
        <w:spacing w:after="0" w:line="240" w:lineRule="auto"/>
        <w:ind w:left="709" w:right="-1"/>
        <w:jc w:val="both"/>
        <w:rPr>
          <w:rFonts w:ascii="Times New Roman" w:hAnsi="Times New Roman" w:cs="Times New Roman"/>
          <w:sz w:val="24"/>
          <w:szCs w:val="24"/>
          <w:lang w:val="en-US"/>
        </w:rPr>
      </w:pPr>
    </w:p>
    <w:p w14:paraId="38B46C60" w14:textId="77777777" w:rsidR="00BC72B3" w:rsidRPr="000010A1" w:rsidRDefault="00BC72B3" w:rsidP="0021351E">
      <w:pPr>
        <w:spacing w:after="0" w:line="360" w:lineRule="auto"/>
        <w:ind w:left="709" w:right="-1"/>
        <w:jc w:val="both"/>
        <w:rPr>
          <w:rFonts w:ascii="Times New Roman" w:hAnsi="Times New Roman" w:cs="Times New Roman"/>
          <w:sz w:val="24"/>
          <w:szCs w:val="24"/>
          <w:lang w:val="en-US"/>
        </w:rPr>
      </w:pPr>
      <w:r w:rsidRPr="000010A1">
        <w:rPr>
          <w:rFonts w:ascii="Times New Roman" w:hAnsi="Times New Roman" w:cs="Times New Roman"/>
          <w:b/>
          <w:sz w:val="24"/>
          <w:szCs w:val="24"/>
          <w:lang w:val="en-US"/>
        </w:rPr>
        <w:t>Keywords</w:t>
      </w:r>
      <w:r w:rsidRPr="000010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banks, </w:t>
      </w:r>
      <w:r w:rsidRPr="000010A1">
        <w:rPr>
          <w:rFonts w:ascii="Times New Roman" w:hAnsi="Times New Roman" w:cs="Times New Roman"/>
          <w:sz w:val="24"/>
          <w:szCs w:val="24"/>
          <w:lang w:val="en-US"/>
        </w:rPr>
        <w:t>Republic of Kazakhstan</w:t>
      </w:r>
      <w:r>
        <w:rPr>
          <w:rFonts w:ascii="Times New Roman" w:hAnsi="Times New Roman" w:cs="Times New Roman"/>
          <w:sz w:val="24"/>
          <w:szCs w:val="24"/>
          <w:lang w:val="en-US"/>
        </w:rPr>
        <w:t>, AML/CFT system, compliance service</w:t>
      </w:r>
    </w:p>
    <w:p w14:paraId="7CAE689A" w14:textId="77777777" w:rsidR="00BC72B3" w:rsidRPr="00E44D39" w:rsidRDefault="00BC72B3" w:rsidP="00BC72B3">
      <w:pPr>
        <w:spacing w:after="0" w:line="360" w:lineRule="auto"/>
        <w:jc w:val="both"/>
        <w:rPr>
          <w:rStyle w:val="Emphasis"/>
          <w:rFonts w:ascii="Times New Roman" w:hAnsi="Times New Roman" w:cs="Times New Roman"/>
          <w:b/>
          <w:i w:val="0"/>
          <w:sz w:val="28"/>
          <w:szCs w:val="28"/>
          <w:lang w:val="en-US"/>
        </w:rPr>
      </w:pPr>
      <w:r w:rsidRPr="00E44D39">
        <w:rPr>
          <w:rStyle w:val="Emphasis"/>
          <w:rFonts w:ascii="Times New Roman" w:hAnsi="Times New Roman" w:cs="Times New Roman"/>
          <w:b/>
          <w:i w:val="0"/>
          <w:sz w:val="28"/>
          <w:szCs w:val="28"/>
          <w:lang w:val="en-US"/>
        </w:rPr>
        <w:t>Introduction</w:t>
      </w:r>
    </w:p>
    <w:p w14:paraId="49EFD1F5" w14:textId="77777777" w:rsidR="00BC72B3" w:rsidRPr="00CE3A06"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Currently, the issues of compliance with the established norms in the anti-money laundering and combating financing of terrorism (hereinafter - AML/CFT) legislation by the regulated banks are quite acute, due to the fact that they are all reporting entities. The banking sector in Kazakhstan is the most important part of the financial system of the state, occupies a key position in conducting both domestic and international payments, and provides a wide range of other financial services. In this regard, the requirements of the AML/CFT legislation should be primarily performed by commercial banks. Any bank, which does not have the effective AML/CFT program, is exposed to high risk of money laundering and financing of terrorism. Often, so-called compliance risk and negligent attitude to them lead to huge financial losses, loss of reputation and even criminal liability of managers.</w:t>
      </w:r>
    </w:p>
    <w:p w14:paraId="10568125" w14:textId="77777777" w:rsidR="00BC72B3" w:rsidRPr="00CE3A06"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The functions of the compliance control service are very diverse and cover a wide range of issues related to the activities of the bank. However, this research is focused on one of the most important of its functions, namely, the prevention of money laundering and financing of terrorism.</w:t>
      </w:r>
    </w:p>
    <w:p w14:paraId="61A51373" w14:textId="77777777" w:rsidR="00BC72B3" w:rsidRPr="0090149A" w:rsidRDefault="00BC72B3" w:rsidP="00BC72B3">
      <w:pPr>
        <w:spacing w:after="0" w:line="360" w:lineRule="auto"/>
        <w:jc w:val="both"/>
        <w:rPr>
          <w:rStyle w:val="Emphasis"/>
          <w:rFonts w:ascii="Times New Roman" w:hAnsi="Times New Roman" w:cs="Times New Roman"/>
          <w:b/>
          <w:i w:val="0"/>
          <w:sz w:val="28"/>
          <w:szCs w:val="28"/>
          <w:lang w:val="en-US"/>
        </w:rPr>
      </w:pPr>
      <w:r w:rsidRPr="0090149A">
        <w:rPr>
          <w:rStyle w:val="Emphasis"/>
          <w:rFonts w:ascii="Times New Roman" w:hAnsi="Times New Roman" w:cs="Times New Roman"/>
          <w:b/>
          <w:i w:val="0"/>
          <w:sz w:val="28"/>
          <w:szCs w:val="28"/>
          <w:lang w:val="en-US"/>
        </w:rPr>
        <w:t>Relevance</w:t>
      </w:r>
    </w:p>
    <w:p w14:paraId="14E806A9" w14:textId="77777777" w:rsidR="00BC72B3" w:rsidRPr="00CE3A06" w:rsidRDefault="00BC72B3" w:rsidP="00BC72B3">
      <w:pPr>
        <w:spacing w:after="0" w:line="360" w:lineRule="auto"/>
        <w:jc w:val="both"/>
        <w:rPr>
          <w:rStyle w:val="Emphasis"/>
          <w:rFonts w:ascii="Times New Roman" w:hAnsi="Times New Roman" w:cs="Times New Roman"/>
          <w:i w:val="0"/>
          <w:sz w:val="28"/>
          <w:szCs w:val="28"/>
          <w:lang w:val="en-US"/>
        </w:rPr>
      </w:pPr>
      <w:r w:rsidRPr="00E44D39">
        <w:rPr>
          <w:rStyle w:val="Emphasis"/>
          <w:rFonts w:ascii="Times New Roman" w:hAnsi="Times New Roman" w:cs="Times New Roman"/>
          <w:i w:val="0"/>
          <w:sz w:val="28"/>
          <w:szCs w:val="28"/>
          <w:lang w:val="en-US"/>
        </w:rPr>
        <w:t xml:space="preserve">Despite the available numerous publications of domestic and foreign </w:t>
      </w:r>
      <w:r w:rsidR="00276C75">
        <w:rPr>
          <w:rStyle w:val="Emphasis"/>
          <w:rFonts w:ascii="Times New Roman" w:hAnsi="Times New Roman" w:cs="Times New Roman"/>
          <w:i w:val="0"/>
          <w:sz w:val="28"/>
          <w:szCs w:val="28"/>
          <w:lang w:val="en-US"/>
        </w:rPr>
        <w:t>scientists</w:t>
      </w:r>
      <w:r w:rsidRPr="00E44D39">
        <w:rPr>
          <w:rStyle w:val="Emphasis"/>
          <w:rFonts w:ascii="Times New Roman" w:hAnsi="Times New Roman" w:cs="Times New Roman"/>
          <w:i w:val="0"/>
          <w:sz w:val="28"/>
          <w:szCs w:val="28"/>
          <w:lang w:val="en-US"/>
        </w:rPr>
        <w:t xml:space="preserve"> on </w:t>
      </w:r>
      <w:r w:rsidR="00276C75">
        <w:rPr>
          <w:rStyle w:val="Emphasis"/>
          <w:rFonts w:ascii="Times New Roman" w:hAnsi="Times New Roman" w:cs="Times New Roman"/>
          <w:i w:val="0"/>
          <w:sz w:val="28"/>
          <w:szCs w:val="28"/>
          <w:lang w:val="en-US"/>
        </w:rPr>
        <w:t xml:space="preserve">the </w:t>
      </w:r>
      <w:r w:rsidRPr="00E44D39">
        <w:rPr>
          <w:rStyle w:val="Emphasis"/>
          <w:rFonts w:ascii="Times New Roman" w:hAnsi="Times New Roman" w:cs="Times New Roman"/>
          <w:i w:val="0"/>
          <w:sz w:val="28"/>
          <w:szCs w:val="28"/>
          <w:lang w:val="en-US"/>
        </w:rPr>
        <w:t xml:space="preserve">related subjects, there is no research on the analysis and assessment of compliance </w:t>
      </w:r>
      <w:r w:rsidRPr="00E44D39">
        <w:rPr>
          <w:rStyle w:val="Emphasis"/>
          <w:rFonts w:ascii="Times New Roman" w:hAnsi="Times New Roman" w:cs="Times New Roman"/>
          <w:i w:val="0"/>
          <w:sz w:val="28"/>
          <w:szCs w:val="28"/>
          <w:lang w:val="en-US"/>
        </w:rPr>
        <w:lastRenderedPageBreak/>
        <w:t xml:space="preserve">control of regulated banks in the Republic of Kazakhstan. </w:t>
      </w:r>
      <w:r w:rsidR="00F1121F" w:rsidRPr="00F1121F">
        <w:rPr>
          <w:rStyle w:val="Emphasis"/>
          <w:rFonts w:ascii="Times New Roman" w:hAnsi="Times New Roman" w:cs="Times New Roman"/>
          <w:i w:val="0"/>
          <w:sz w:val="28"/>
          <w:szCs w:val="28"/>
          <w:lang w:val="en-GB"/>
        </w:rPr>
        <w:t>This</w:t>
      </w:r>
      <w:r w:rsidR="00F1121F" w:rsidRPr="00F1121F">
        <w:rPr>
          <w:rStyle w:val="Emphasis"/>
          <w:rFonts w:ascii="Times New Roman" w:hAnsi="Times New Roman" w:cs="Times New Roman"/>
          <w:i w:val="0"/>
          <w:sz w:val="28"/>
          <w:szCs w:val="28"/>
          <w:lang w:val="en-US"/>
        </w:rPr>
        <w:t xml:space="preserve"> </w:t>
      </w:r>
      <w:r w:rsidR="00F1121F" w:rsidRPr="00E44D39">
        <w:rPr>
          <w:rStyle w:val="Emphasis"/>
          <w:rFonts w:ascii="Times New Roman" w:hAnsi="Times New Roman" w:cs="Times New Roman"/>
          <w:i w:val="0"/>
          <w:sz w:val="28"/>
          <w:szCs w:val="28"/>
          <w:lang w:val="en-US"/>
        </w:rPr>
        <w:t>is caused</w:t>
      </w:r>
      <w:r w:rsidR="00F1121F">
        <w:rPr>
          <w:rStyle w:val="Emphasis"/>
          <w:rFonts w:ascii="Times New Roman" w:hAnsi="Times New Roman" w:cs="Times New Roman"/>
          <w:i w:val="0"/>
          <w:sz w:val="28"/>
          <w:szCs w:val="28"/>
          <w:lang w:val="en-US"/>
        </w:rPr>
        <w:t xml:space="preserve"> by</w:t>
      </w:r>
      <w:r w:rsidRPr="00E44D39">
        <w:rPr>
          <w:rStyle w:val="Emphasis"/>
          <w:rFonts w:ascii="Times New Roman" w:hAnsi="Times New Roman" w:cs="Times New Roman"/>
          <w:i w:val="0"/>
          <w:sz w:val="28"/>
          <w:szCs w:val="28"/>
          <w:lang w:val="en-US"/>
        </w:rPr>
        <w:t xml:space="preserve"> the relevance of research in this field.</w:t>
      </w:r>
    </w:p>
    <w:p w14:paraId="245439BE" w14:textId="77777777" w:rsidR="00BC72B3" w:rsidRPr="00CE3A06" w:rsidRDefault="00BC72B3" w:rsidP="00BC72B3">
      <w:pPr>
        <w:spacing w:after="0" w:line="360" w:lineRule="auto"/>
        <w:jc w:val="both"/>
        <w:rPr>
          <w:rStyle w:val="Emphasis"/>
          <w:rFonts w:ascii="Times New Roman" w:hAnsi="Times New Roman" w:cs="Times New Roman"/>
          <w:b/>
          <w:i w:val="0"/>
          <w:sz w:val="28"/>
          <w:szCs w:val="28"/>
          <w:lang w:val="en-US"/>
        </w:rPr>
      </w:pPr>
      <w:r w:rsidRPr="00CE3A06">
        <w:rPr>
          <w:rStyle w:val="Emphasis"/>
          <w:rFonts w:ascii="Times New Roman" w:hAnsi="Times New Roman" w:cs="Times New Roman"/>
          <w:b/>
          <w:i w:val="0"/>
          <w:sz w:val="28"/>
          <w:szCs w:val="28"/>
          <w:lang w:val="en-US"/>
        </w:rPr>
        <w:t>Results of the study</w:t>
      </w:r>
    </w:p>
    <w:p w14:paraId="4E37F847"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So, </w:t>
      </w:r>
      <w:r w:rsidR="00F1121F">
        <w:rPr>
          <w:rStyle w:val="Emphasis"/>
          <w:rFonts w:ascii="Times New Roman" w:hAnsi="Times New Roman" w:cs="Times New Roman"/>
          <w:i w:val="0"/>
          <w:sz w:val="28"/>
          <w:szCs w:val="28"/>
          <w:lang w:val="en-US"/>
        </w:rPr>
        <w:t>in</w:t>
      </w:r>
      <w:r w:rsidRPr="00305443">
        <w:rPr>
          <w:rStyle w:val="Emphasis"/>
          <w:rFonts w:ascii="Times New Roman" w:hAnsi="Times New Roman" w:cs="Times New Roman"/>
          <w:i w:val="0"/>
          <w:sz w:val="28"/>
          <w:szCs w:val="28"/>
          <w:lang w:val="en-US"/>
        </w:rPr>
        <w:t xml:space="preserve"> January 1, 2017, 33 banks and 8 organizations perform separate types of banking operations, including </w:t>
      </w:r>
      <w:r w:rsidR="00DD637E" w:rsidRPr="00305443">
        <w:rPr>
          <w:rStyle w:val="Emphasis"/>
          <w:rFonts w:ascii="Times New Roman" w:hAnsi="Times New Roman" w:cs="Times New Roman"/>
          <w:i w:val="0"/>
          <w:sz w:val="28"/>
          <w:szCs w:val="28"/>
          <w:lang w:val="en-US"/>
        </w:rPr>
        <w:t>three</w:t>
      </w:r>
      <w:r w:rsidRPr="00305443">
        <w:rPr>
          <w:rStyle w:val="Emphasis"/>
          <w:rFonts w:ascii="Times New Roman" w:hAnsi="Times New Roman" w:cs="Times New Roman"/>
          <w:i w:val="0"/>
          <w:sz w:val="28"/>
          <w:szCs w:val="28"/>
          <w:lang w:val="en-US"/>
        </w:rPr>
        <w:t xml:space="preserve"> mortgage organizations, functioned in the Republic of Kazakhstan. </w:t>
      </w:r>
    </w:p>
    <w:p w14:paraId="543C95DB"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For the purposes of this research we take the following 6 banks, including one subsidiary of a foreign Bank: Kazkommertsbank JSC, "Halyk Bank of Kazakhstan", "Bank CenterCredit", "ATF Bank", "ForteBank", "SB "KZI Bank".</w:t>
      </w:r>
    </w:p>
    <w:p w14:paraId="334DD923"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In order to assess the financial situation of these banks based on their financial reports and official data of the National Bank of the Republic of Kazakhstan the ranking by assets was created (as shown in table 1).</w:t>
      </w:r>
    </w:p>
    <w:p w14:paraId="4C8FE0BE" w14:textId="77777777" w:rsidR="00BC72B3" w:rsidRPr="00305443" w:rsidRDefault="00BC72B3" w:rsidP="00BC72B3">
      <w:pPr>
        <w:spacing w:after="0" w:line="360" w:lineRule="auto"/>
        <w:ind w:firstLine="454"/>
        <w:jc w:val="center"/>
        <w:rPr>
          <w:rStyle w:val="Emphasis"/>
          <w:rFonts w:ascii="Times New Roman" w:hAnsi="Times New Roman" w:cs="Times New Roman"/>
          <w:i w:val="0"/>
          <w:sz w:val="20"/>
          <w:szCs w:val="20"/>
          <w:lang w:val="en-US"/>
        </w:rPr>
      </w:pPr>
      <w:r w:rsidRPr="00305443">
        <w:rPr>
          <w:rStyle w:val="Emphasis"/>
          <w:rFonts w:ascii="Times New Roman" w:hAnsi="Times New Roman" w:cs="Times New Roman"/>
          <w:i w:val="0"/>
          <w:sz w:val="20"/>
          <w:szCs w:val="20"/>
          <w:lang w:val="en-US"/>
        </w:rPr>
        <w:t>Table 1</w:t>
      </w:r>
      <w:r w:rsidR="00690F6B">
        <w:rPr>
          <w:rStyle w:val="Emphasis"/>
          <w:rFonts w:ascii="Times New Roman" w:hAnsi="Times New Roman" w:cs="Times New Roman"/>
          <w:i w:val="0"/>
          <w:sz w:val="20"/>
          <w:szCs w:val="20"/>
          <w:lang w:val="en-US"/>
        </w:rPr>
        <w:t xml:space="preserve">. </w:t>
      </w:r>
      <w:r w:rsidRPr="00305443">
        <w:rPr>
          <w:rStyle w:val="Emphasis"/>
          <w:rFonts w:ascii="Times New Roman" w:hAnsi="Times New Roman" w:cs="Times New Roman"/>
          <w:i w:val="0"/>
          <w:sz w:val="20"/>
          <w:szCs w:val="20"/>
          <w:lang w:val="en-US"/>
        </w:rPr>
        <w:t xml:space="preserve">Ranking of banks by assets </w:t>
      </w:r>
      <w:r w:rsidR="001674B3">
        <w:rPr>
          <w:rStyle w:val="Emphasis"/>
          <w:rFonts w:ascii="Times New Roman" w:hAnsi="Times New Roman" w:cs="Times New Roman"/>
          <w:i w:val="0"/>
          <w:sz w:val="20"/>
          <w:szCs w:val="20"/>
          <w:lang w:val="en-US"/>
        </w:rPr>
        <w:t>in</w:t>
      </w:r>
      <w:r w:rsidRPr="00305443">
        <w:rPr>
          <w:rStyle w:val="Emphasis"/>
          <w:rFonts w:ascii="Times New Roman" w:hAnsi="Times New Roman" w:cs="Times New Roman"/>
          <w:i w:val="0"/>
          <w:sz w:val="20"/>
          <w:szCs w:val="20"/>
          <w:lang w:val="en-US"/>
        </w:rPr>
        <w:t xml:space="preserve"> 01.12.2016</w:t>
      </w:r>
    </w:p>
    <w:tbl>
      <w:tblPr>
        <w:tblStyle w:val="TableGrid"/>
        <w:tblW w:w="0" w:type="auto"/>
        <w:jc w:val="center"/>
        <w:tblLayout w:type="fixed"/>
        <w:tblLook w:val="04A0" w:firstRow="1" w:lastRow="0" w:firstColumn="1" w:lastColumn="0" w:noHBand="0" w:noVBand="1"/>
      </w:tblPr>
      <w:tblGrid>
        <w:gridCol w:w="709"/>
        <w:gridCol w:w="2268"/>
        <w:gridCol w:w="1809"/>
        <w:gridCol w:w="4536"/>
      </w:tblGrid>
      <w:tr w:rsidR="00BC72B3" w:rsidRPr="0021351E" w14:paraId="19447878" w14:textId="77777777" w:rsidTr="000E0A15">
        <w:trPr>
          <w:jc w:val="center"/>
        </w:trPr>
        <w:tc>
          <w:tcPr>
            <w:tcW w:w="709" w:type="dxa"/>
          </w:tcPr>
          <w:p w14:paraId="46ADA85F" w14:textId="77777777" w:rsidR="00BC72B3" w:rsidRPr="00305443" w:rsidRDefault="00BC72B3" w:rsidP="000E0A15">
            <w:pPr>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N</w:t>
            </w:r>
          </w:p>
        </w:tc>
        <w:tc>
          <w:tcPr>
            <w:tcW w:w="2268" w:type="dxa"/>
          </w:tcPr>
          <w:p w14:paraId="0F212C11" w14:textId="77777777" w:rsidR="00BC72B3" w:rsidRPr="00305443" w:rsidRDefault="00BC72B3" w:rsidP="000E0A15">
            <w:pPr>
              <w:jc w:val="center"/>
              <w:rPr>
                <w:rFonts w:ascii="Times New Roman" w:hAnsi="Times New Roman" w:cs="Times New Roman"/>
                <w:sz w:val="20"/>
                <w:szCs w:val="20"/>
              </w:rPr>
            </w:pPr>
            <w:r w:rsidRPr="00305443">
              <w:rPr>
                <w:rFonts w:ascii="Times New Roman" w:hAnsi="Times New Roman" w:cs="Times New Roman"/>
                <w:sz w:val="20"/>
                <w:szCs w:val="20"/>
              </w:rPr>
              <w:t>Bank</w:t>
            </w:r>
          </w:p>
        </w:tc>
        <w:tc>
          <w:tcPr>
            <w:tcW w:w="1809" w:type="dxa"/>
          </w:tcPr>
          <w:p w14:paraId="06A43CB4" w14:textId="77777777" w:rsidR="00BC72B3" w:rsidRPr="00305443" w:rsidRDefault="00BC72B3" w:rsidP="000E0A15">
            <w:pPr>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Assets (billion KZT)</w:t>
            </w:r>
          </w:p>
        </w:tc>
        <w:tc>
          <w:tcPr>
            <w:tcW w:w="4536" w:type="dxa"/>
          </w:tcPr>
          <w:p w14:paraId="65B98587" w14:textId="77777777" w:rsidR="00BC72B3" w:rsidRPr="00305443" w:rsidRDefault="00BC72B3" w:rsidP="000E0A15">
            <w:pPr>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Change assets (at year-end)</w:t>
            </w:r>
          </w:p>
        </w:tc>
      </w:tr>
      <w:tr w:rsidR="00BC72B3" w:rsidRPr="00305443" w14:paraId="2F7659CB" w14:textId="77777777" w:rsidTr="000E0A15">
        <w:trPr>
          <w:trHeight w:val="362"/>
          <w:jc w:val="center"/>
        </w:trPr>
        <w:tc>
          <w:tcPr>
            <w:tcW w:w="709" w:type="dxa"/>
          </w:tcPr>
          <w:p w14:paraId="72CE40B3" w14:textId="77777777" w:rsidR="00BC72B3" w:rsidRPr="00305443" w:rsidRDefault="00BC72B3" w:rsidP="000E0A15">
            <w:pPr>
              <w:pStyle w:val="NormalWeb"/>
              <w:spacing w:before="0" w:beforeAutospacing="0" w:after="0" w:afterAutospacing="0"/>
              <w:jc w:val="center"/>
              <w:rPr>
                <w:sz w:val="20"/>
                <w:szCs w:val="20"/>
              </w:rPr>
            </w:pPr>
            <w:r w:rsidRPr="00305443">
              <w:rPr>
                <w:sz w:val="20"/>
                <w:szCs w:val="20"/>
              </w:rPr>
              <w:t>1</w:t>
            </w:r>
          </w:p>
        </w:tc>
        <w:tc>
          <w:tcPr>
            <w:tcW w:w="2268" w:type="dxa"/>
            <w:shd w:val="clear" w:color="auto" w:fill="FFFFFF" w:themeFill="background1"/>
          </w:tcPr>
          <w:p w14:paraId="6D94FA33" w14:textId="77777777" w:rsidR="00BC72B3" w:rsidRPr="00305443" w:rsidRDefault="00BC72B3" w:rsidP="000E0A15">
            <w:pPr>
              <w:pStyle w:val="NormalWeb"/>
              <w:spacing w:before="0" w:beforeAutospacing="0" w:after="0" w:afterAutospacing="0"/>
              <w:jc w:val="center"/>
              <w:rPr>
                <w:rStyle w:val="Emphasis"/>
                <w:sz w:val="20"/>
                <w:szCs w:val="20"/>
                <w:lang w:val="en-US"/>
              </w:rPr>
            </w:pPr>
            <w:r w:rsidRPr="00305443">
              <w:rPr>
                <w:rStyle w:val="Emphasis"/>
                <w:i w:val="0"/>
                <w:sz w:val="20"/>
                <w:szCs w:val="20"/>
                <w:lang w:val="en-US"/>
              </w:rPr>
              <w:t>Kazkommertsbank</w:t>
            </w:r>
          </w:p>
        </w:tc>
        <w:tc>
          <w:tcPr>
            <w:tcW w:w="1809" w:type="dxa"/>
            <w:shd w:val="clear" w:color="auto" w:fill="auto"/>
          </w:tcPr>
          <w:p w14:paraId="074F7B61" w14:textId="77777777" w:rsidR="00BC72B3" w:rsidRPr="00305443" w:rsidRDefault="00BC72B3" w:rsidP="000E0A15">
            <w:pPr>
              <w:spacing w:after="300"/>
              <w:jc w:val="center"/>
              <w:rPr>
                <w:rFonts w:ascii="Times New Roman" w:hAnsi="Times New Roman" w:cs="Times New Roman"/>
                <w:b/>
                <w:sz w:val="20"/>
                <w:szCs w:val="20"/>
              </w:rPr>
            </w:pPr>
            <w:r w:rsidRPr="00305443">
              <w:rPr>
                <w:rStyle w:val="Strong"/>
                <w:rFonts w:ascii="Times New Roman" w:hAnsi="Times New Roman" w:cs="Times New Roman"/>
                <w:b w:val="0"/>
                <w:sz w:val="20"/>
                <w:szCs w:val="20"/>
              </w:rPr>
              <w:t>5 045</w:t>
            </w:r>
          </w:p>
        </w:tc>
        <w:tc>
          <w:tcPr>
            <w:tcW w:w="4536" w:type="dxa"/>
          </w:tcPr>
          <w:p w14:paraId="0F3CEDAA" w14:textId="77777777" w:rsidR="00BC72B3" w:rsidRPr="00305443" w:rsidRDefault="00BC72B3" w:rsidP="000E0A15">
            <w:pPr>
              <w:spacing w:after="300"/>
              <w:jc w:val="center"/>
              <w:rPr>
                <w:rFonts w:ascii="Times New Roman" w:hAnsi="Times New Roman" w:cs="Times New Roman"/>
                <w:sz w:val="20"/>
                <w:szCs w:val="20"/>
              </w:rPr>
            </w:pPr>
            <w:r w:rsidRPr="00305443">
              <w:rPr>
                <w:rStyle w:val="minus"/>
                <w:rFonts w:ascii="Times New Roman" w:hAnsi="Times New Roman" w:cs="Times New Roman"/>
                <w:bCs/>
                <w:sz w:val="20"/>
                <w:szCs w:val="20"/>
              </w:rPr>
              <w:t>-0.12</w:t>
            </w:r>
            <w:r w:rsidRPr="00305443">
              <w:rPr>
                <w:rFonts w:ascii="Times New Roman" w:hAnsi="Times New Roman" w:cs="Times New Roman"/>
                <w:sz w:val="20"/>
                <w:szCs w:val="20"/>
              </w:rPr>
              <w:t>%</w:t>
            </w:r>
          </w:p>
        </w:tc>
      </w:tr>
      <w:tr w:rsidR="00BC72B3" w:rsidRPr="00305443" w14:paraId="727C2100" w14:textId="77777777" w:rsidTr="000E0A15">
        <w:trPr>
          <w:trHeight w:val="427"/>
          <w:jc w:val="center"/>
        </w:trPr>
        <w:tc>
          <w:tcPr>
            <w:tcW w:w="709" w:type="dxa"/>
          </w:tcPr>
          <w:p w14:paraId="6A5F7BB6" w14:textId="77777777" w:rsidR="00BC72B3" w:rsidRPr="00305443" w:rsidRDefault="00BC72B3" w:rsidP="000E0A15">
            <w:pPr>
              <w:pStyle w:val="NormalWeb"/>
              <w:spacing w:before="0" w:beforeAutospacing="0" w:after="0" w:afterAutospacing="0"/>
              <w:jc w:val="center"/>
              <w:rPr>
                <w:sz w:val="20"/>
                <w:szCs w:val="20"/>
              </w:rPr>
            </w:pPr>
            <w:r w:rsidRPr="00305443">
              <w:rPr>
                <w:sz w:val="20"/>
                <w:szCs w:val="20"/>
              </w:rPr>
              <w:t>2</w:t>
            </w:r>
          </w:p>
        </w:tc>
        <w:tc>
          <w:tcPr>
            <w:tcW w:w="2268" w:type="dxa"/>
          </w:tcPr>
          <w:p w14:paraId="6C19F372" w14:textId="77777777" w:rsidR="00BC72B3" w:rsidRPr="00305443" w:rsidRDefault="00BC72B3" w:rsidP="000E0A15">
            <w:pPr>
              <w:pStyle w:val="NormalWeb"/>
              <w:spacing w:before="0" w:beforeAutospacing="0" w:after="0" w:afterAutospacing="0"/>
              <w:jc w:val="center"/>
              <w:rPr>
                <w:rStyle w:val="Emphasis"/>
                <w:sz w:val="20"/>
                <w:szCs w:val="20"/>
                <w:lang w:val="en-US"/>
              </w:rPr>
            </w:pPr>
            <w:r w:rsidRPr="00305443">
              <w:rPr>
                <w:rStyle w:val="Emphasis"/>
                <w:i w:val="0"/>
                <w:sz w:val="20"/>
                <w:szCs w:val="20"/>
                <w:lang w:val="en-US"/>
              </w:rPr>
              <w:t>Halyk Bank of Kazakhstan</w:t>
            </w:r>
          </w:p>
        </w:tc>
        <w:tc>
          <w:tcPr>
            <w:tcW w:w="1809" w:type="dxa"/>
          </w:tcPr>
          <w:p w14:paraId="3A9D3FB2" w14:textId="77777777" w:rsidR="00BC72B3" w:rsidRPr="00305443" w:rsidRDefault="00BC72B3" w:rsidP="000E0A15">
            <w:pPr>
              <w:spacing w:after="300"/>
              <w:jc w:val="center"/>
              <w:rPr>
                <w:rFonts w:ascii="Times New Roman" w:hAnsi="Times New Roman" w:cs="Times New Roman"/>
                <w:b/>
                <w:sz w:val="20"/>
                <w:szCs w:val="20"/>
              </w:rPr>
            </w:pPr>
            <w:r w:rsidRPr="00305443">
              <w:rPr>
                <w:rStyle w:val="Strong"/>
                <w:rFonts w:ascii="Times New Roman" w:hAnsi="Times New Roman" w:cs="Times New Roman"/>
                <w:b w:val="0"/>
                <w:sz w:val="20"/>
                <w:szCs w:val="20"/>
              </w:rPr>
              <w:t>4 294</w:t>
            </w:r>
          </w:p>
        </w:tc>
        <w:tc>
          <w:tcPr>
            <w:tcW w:w="4536" w:type="dxa"/>
          </w:tcPr>
          <w:p w14:paraId="3DA15D11" w14:textId="77777777" w:rsidR="00BC72B3" w:rsidRPr="00305443" w:rsidRDefault="00BC72B3" w:rsidP="000E0A15">
            <w:pPr>
              <w:spacing w:after="300"/>
              <w:jc w:val="center"/>
              <w:rPr>
                <w:rFonts w:ascii="Times New Roman" w:hAnsi="Times New Roman" w:cs="Times New Roman"/>
                <w:sz w:val="20"/>
                <w:szCs w:val="20"/>
              </w:rPr>
            </w:pPr>
            <w:r w:rsidRPr="00305443">
              <w:rPr>
                <w:rStyle w:val="pluse"/>
                <w:rFonts w:ascii="Times New Roman" w:hAnsi="Times New Roman" w:cs="Times New Roman"/>
                <w:bCs/>
                <w:sz w:val="20"/>
                <w:szCs w:val="20"/>
              </w:rPr>
              <w:t>5.94</w:t>
            </w:r>
            <w:r w:rsidRPr="00305443">
              <w:rPr>
                <w:rFonts w:ascii="Times New Roman" w:hAnsi="Times New Roman" w:cs="Times New Roman"/>
                <w:sz w:val="20"/>
                <w:szCs w:val="20"/>
              </w:rPr>
              <w:t>%</w:t>
            </w:r>
          </w:p>
        </w:tc>
      </w:tr>
      <w:tr w:rsidR="00BC72B3" w:rsidRPr="00305443" w14:paraId="262BF369" w14:textId="77777777" w:rsidTr="000E0A15">
        <w:trPr>
          <w:jc w:val="center"/>
        </w:trPr>
        <w:tc>
          <w:tcPr>
            <w:tcW w:w="709" w:type="dxa"/>
          </w:tcPr>
          <w:p w14:paraId="1F0AF650" w14:textId="77777777" w:rsidR="00BC72B3" w:rsidRPr="00305443" w:rsidRDefault="00BC72B3" w:rsidP="000E0A15">
            <w:pPr>
              <w:pStyle w:val="NormalWeb"/>
              <w:spacing w:before="0" w:beforeAutospacing="0" w:after="0" w:afterAutospacing="0"/>
              <w:jc w:val="center"/>
              <w:rPr>
                <w:sz w:val="20"/>
                <w:szCs w:val="20"/>
              </w:rPr>
            </w:pPr>
            <w:r w:rsidRPr="00305443">
              <w:rPr>
                <w:sz w:val="20"/>
                <w:szCs w:val="20"/>
              </w:rPr>
              <w:t>3</w:t>
            </w:r>
          </w:p>
        </w:tc>
        <w:tc>
          <w:tcPr>
            <w:tcW w:w="2268" w:type="dxa"/>
          </w:tcPr>
          <w:p w14:paraId="0298118A" w14:textId="77777777" w:rsidR="00BC72B3" w:rsidRPr="00305443" w:rsidRDefault="00BC72B3" w:rsidP="000E0A15">
            <w:pPr>
              <w:pStyle w:val="NormalWeb"/>
              <w:spacing w:before="0" w:beforeAutospacing="0" w:after="0" w:afterAutospacing="0"/>
              <w:jc w:val="center"/>
              <w:rPr>
                <w:rStyle w:val="Emphasis"/>
                <w:sz w:val="20"/>
                <w:szCs w:val="20"/>
                <w:lang w:val="en-US"/>
              </w:rPr>
            </w:pPr>
            <w:r w:rsidRPr="00305443">
              <w:rPr>
                <w:rStyle w:val="Emphasis"/>
                <w:i w:val="0"/>
                <w:sz w:val="20"/>
                <w:szCs w:val="20"/>
                <w:lang w:val="en-US"/>
              </w:rPr>
              <w:t>ATF Bank</w:t>
            </w:r>
          </w:p>
        </w:tc>
        <w:tc>
          <w:tcPr>
            <w:tcW w:w="1809" w:type="dxa"/>
          </w:tcPr>
          <w:p w14:paraId="1EE590A2" w14:textId="77777777" w:rsidR="00BC72B3" w:rsidRPr="00305443" w:rsidRDefault="00BC72B3" w:rsidP="000E0A15">
            <w:pPr>
              <w:spacing w:after="300"/>
              <w:jc w:val="center"/>
              <w:rPr>
                <w:rFonts w:ascii="Times New Roman" w:hAnsi="Times New Roman" w:cs="Times New Roman"/>
                <w:b/>
                <w:sz w:val="20"/>
                <w:szCs w:val="20"/>
              </w:rPr>
            </w:pPr>
            <w:r w:rsidRPr="00305443">
              <w:rPr>
                <w:rStyle w:val="Strong"/>
                <w:rFonts w:ascii="Times New Roman" w:hAnsi="Times New Roman" w:cs="Times New Roman"/>
                <w:b w:val="0"/>
                <w:sz w:val="20"/>
                <w:szCs w:val="20"/>
              </w:rPr>
              <w:t>1 308</w:t>
            </w:r>
          </w:p>
        </w:tc>
        <w:tc>
          <w:tcPr>
            <w:tcW w:w="4536" w:type="dxa"/>
          </w:tcPr>
          <w:p w14:paraId="67EA64DA" w14:textId="77777777" w:rsidR="00BC72B3" w:rsidRPr="00305443" w:rsidRDefault="00BC72B3" w:rsidP="000E0A15">
            <w:pPr>
              <w:spacing w:after="300"/>
              <w:jc w:val="center"/>
              <w:rPr>
                <w:rFonts w:ascii="Times New Roman" w:hAnsi="Times New Roman" w:cs="Times New Roman"/>
                <w:sz w:val="20"/>
                <w:szCs w:val="20"/>
              </w:rPr>
            </w:pPr>
            <w:r w:rsidRPr="00305443">
              <w:rPr>
                <w:rStyle w:val="pluse"/>
                <w:rFonts w:ascii="Times New Roman" w:hAnsi="Times New Roman" w:cs="Times New Roman"/>
                <w:bCs/>
                <w:sz w:val="20"/>
                <w:szCs w:val="20"/>
              </w:rPr>
              <w:t>9.06</w:t>
            </w:r>
            <w:r w:rsidRPr="00305443">
              <w:rPr>
                <w:rFonts w:ascii="Times New Roman" w:hAnsi="Times New Roman" w:cs="Times New Roman"/>
                <w:sz w:val="20"/>
                <w:szCs w:val="20"/>
              </w:rPr>
              <w:t>%</w:t>
            </w:r>
          </w:p>
        </w:tc>
      </w:tr>
      <w:tr w:rsidR="00BC72B3" w:rsidRPr="00305443" w14:paraId="2F56E74C" w14:textId="77777777" w:rsidTr="000E0A15">
        <w:trPr>
          <w:jc w:val="center"/>
        </w:trPr>
        <w:tc>
          <w:tcPr>
            <w:tcW w:w="709" w:type="dxa"/>
          </w:tcPr>
          <w:p w14:paraId="7F25D26A" w14:textId="77777777" w:rsidR="00BC72B3" w:rsidRPr="00305443" w:rsidRDefault="00BC72B3" w:rsidP="000E0A15">
            <w:pPr>
              <w:pStyle w:val="NormalWeb"/>
              <w:spacing w:before="0" w:beforeAutospacing="0" w:after="0" w:afterAutospacing="0"/>
              <w:jc w:val="center"/>
              <w:rPr>
                <w:sz w:val="20"/>
                <w:szCs w:val="20"/>
              </w:rPr>
            </w:pPr>
            <w:r w:rsidRPr="00305443">
              <w:rPr>
                <w:sz w:val="20"/>
                <w:szCs w:val="20"/>
              </w:rPr>
              <w:t>4</w:t>
            </w:r>
          </w:p>
        </w:tc>
        <w:tc>
          <w:tcPr>
            <w:tcW w:w="2268" w:type="dxa"/>
          </w:tcPr>
          <w:p w14:paraId="69063374" w14:textId="77777777" w:rsidR="00BC72B3" w:rsidRPr="00305443" w:rsidRDefault="00BC72B3" w:rsidP="000E0A15">
            <w:pPr>
              <w:pStyle w:val="NormalWeb"/>
              <w:spacing w:before="0" w:beforeAutospacing="0" w:after="0" w:afterAutospacing="0"/>
              <w:jc w:val="center"/>
              <w:rPr>
                <w:rStyle w:val="Emphasis"/>
                <w:i w:val="0"/>
                <w:sz w:val="20"/>
                <w:szCs w:val="20"/>
                <w:lang w:val="en-US"/>
              </w:rPr>
            </w:pPr>
            <w:r w:rsidRPr="00305443">
              <w:rPr>
                <w:rStyle w:val="Emphasis"/>
                <w:i w:val="0"/>
                <w:sz w:val="20"/>
                <w:szCs w:val="20"/>
                <w:lang w:val="en-US"/>
              </w:rPr>
              <w:t>Bank CenterCredit</w:t>
            </w:r>
          </w:p>
        </w:tc>
        <w:tc>
          <w:tcPr>
            <w:tcW w:w="1809" w:type="dxa"/>
          </w:tcPr>
          <w:p w14:paraId="2DF0C83A" w14:textId="77777777" w:rsidR="00BC72B3" w:rsidRPr="00305443" w:rsidRDefault="00BC72B3" w:rsidP="000E0A15">
            <w:pPr>
              <w:spacing w:after="300"/>
              <w:jc w:val="center"/>
              <w:rPr>
                <w:rFonts w:ascii="Times New Roman" w:hAnsi="Times New Roman" w:cs="Times New Roman"/>
                <w:b/>
                <w:sz w:val="20"/>
                <w:szCs w:val="20"/>
              </w:rPr>
            </w:pPr>
            <w:r w:rsidRPr="00305443">
              <w:rPr>
                <w:rStyle w:val="Strong"/>
                <w:rFonts w:ascii="Times New Roman" w:hAnsi="Times New Roman" w:cs="Times New Roman"/>
                <w:b w:val="0"/>
                <w:sz w:val="20"/>
                <w:szCs w:val="20"/>
              </w:rPr>
              <w:t>1 302</w:t>
            </w:r>
          </w:p>
        </w:tc>
        <w:tc>
          <w:tcPr>
            <w:tcW w:w="4536" w:type="dxa"/>
          </w:tcPr>
          <w:p w14:paraId="093E1FCE" w14:textId="77777777" w:rsidR="00BC72B3" w:rsidRPr="00305443" w:rsidRDefault="00BC72B3" w:rsidP="000E0A15">
            <w:pPr>
              <w:spacing w:after="300"/>
              <w:jc w:val="center"/>
              <w:rPr>
                <w:rFonts w:ascii="Times New Roman" w:hAnsi="Times New Roman" w:cs="Times New Roman"/>
                <w:sz w:val="20"/>
                <w:szCs w:val="20"/>
              </w:rPr>
            </w:pPr>
            <w:r w:rsidRPr="00305443">
              <w:rPr>
                <w:rStyle w:val="minus"/>
                <w:rFonts w:ascii="Times New Roman" w:hAnsi="Times New Roman" w:cs="Times New Roman"/>
                <w:bCs/>
                <w:sz w:val="20"/>
                <w:szCs w:val="20"/>
              </w:rPr>
              <w:t>-9.57</w:t>
            </w:r>
            <w:r w:rsidRPr="00305443">
              <w:rPr>
                <w:rFonts w:ascii="Times New Roman" w:hAnsi="Times New Roman" w:cs="Times New Roman"/>
                <w:sz w:val="20"/>
                <w:szCs w:val="20"/>
              </w:rPr>
              <w:t>%</w:t>
            </w:r>
          </w:p>
        </w:tc>
      </w:tr>
      <w:tr w:rsidR="00BC72B3" w:rsidRPr="00305443" w14:paraId="21A4E99D" w14:textId="77777777" w:rsidTr="000E0A15">
        <w:trPr>
          <w:trHeight w:val="495"/>
          <w:jc w:val="center"/>
        </w:trPr>
        <w:tc>
          <w:tcPr>
            <w:tcW w:w="709" w:type="dxa"/>
          </w:tcPr>
          <w:p w14:paraId="33F410B2" w14:textId="77777777" w:rsidR="00BC72B3" w:rsidRPr="00305443" w:rsidRDefault="00BC72B3" w:rsidP="000E0A15">
            <w:pPr>
              <w:pStyle w:val="NormalWeb"/>
              <w:spacing w:before="0" w:beforeAutospacing="0" w:after="0" w:afterAutospacing="0"/>
              <w:jc w:val="center"/>
              <w:rPr>
                <w:sz w:val="20"/>
                <w:szCs w:val="20"/>
              </w:rPr>
            </w:pPr>
            <w:r w:rsidRPr="00305443">
              <w:rPr>
                <w:sz w:val="20"/>
                <w:szCs w:val="20"/>
              </w:rPr>
              <w:t>5</w:t>
            </w:r>
          </w:p>
        </w:tc>
        <w:tc>
          <w:tcPr>
            <w:tcW w:w="2268" w:type="dxa"/>
          </w:tcPr>
          <w:p w14:paraId="35315E72" w14:textId="77777777" w:rsidR="00BC72B3" w:rsidRPr="00305443" w:rsidRDefault="00BC72B3" w:rsidP="000E0A15">
            <w:pPr>
              <w:pStyle w:val="NormalWeb"/>
              <w:spacing w:before="0" w:beforeAutospacing="0" w:after="0" w:afterAutospacing="0"/>
              <w:jc w:val="center"/>
              <w:rPr>
                <w:rStyle w:val="Emphasis"/>
                <w:i w:val="0"/>
                <w:sz w:val="20"/>
                <w:szCs w:val="20"/>
              </w:rPr>
            </w:pPr>
            <w:r w:rsidRPr="00305443">
              <w:rPr>
                <w:rStyle w:val="Emphasis"/>
                <w:i w:val="0"/>
                <w:sz w:val="20"/>
                <w:szCs w:val="20"/>
              </w:rPr>
              <w:t>ForteBank</w:t>
            </w:r>
          </w:p>
        </w:tc>
        <w:tc>
          <w:tcPr>
            <w:tcW w:w="1809" w:type="dxa"/>
          </w:tcPr>
          <w:p w14:paraId="420116D4" w14:textId="77777777" w:rsidR="00BC72B3" w:rsidRPr="00305443" w:rsidRDefault="00BC72B3" w:rsidP="000E0A15">
            <w:pPr>
              <w:spacing w:after="300"/>
              <w:jc w:val="center"/>
              <w:rPr>
                <w:rFonts w:ascii="Times New Roman" w:hAnsi="Times New Roman" w:cs="Times New Roman"/>
                <w:b/>
                <w:sz w:val="20"/>
                <w:szCs w:val="20"/>
              </w:rPr>
            </w:pPr>
            <w:r w:rsidRPr="00305443">
              <w:rPr>
                <w:rStyle w:val="Strong"/>
                <w:rFonts w:ascii="Times New Roman" w:hAnsi="Times New Roman" w:cs="Times New Roman"/>
                <w:b w:val="0"/>
                <w:sz w:val="20"/>
                <w:szCs w:val="20"/>
              </w:rPr>
              <w:t>1 202</w:t>
            </w:r>
          </w:p>
        </w:tc>
        <w:tc>
          <w:tcPr>
            <w:tcW w:w="4536" w:type="dxa"/>
          </w:tcPr>
          <w:p w14:paraId="3ED58D92" w14:textId="77777777" w:rsidR="00BC72B3" w:rsidRPr="00305443" w:rsidRDefault="00BC72B3" w:rsidP="000E0A15">
            <w:pPr>
              <w:spacing w:after="300"/>
              <w:jc w:val="center"/>
              <w:rPr>
                <w:rFonts w:ascii="Times New Roman" w:hAnsi="Times New Roman" w:cs="Times New Roman"/>
                <w:sz w:val="20"/>
                <w:szCs w:val="20"/>
              </w:rPr>
            </w:pPr>
            <w:r w:rsidRPr="00305443">
              <w:rPr>
                <w:rStyle w:val="pluse"/>
                <w:rFonts w:ascii="Times New Roman" w:hAnsi="Times New Roman" w:cs="Times New Roman"/>
                <w:bCs/>
                <w:sz w:val="20"/>
                <w:szCs w:val="20"/>
              </w:rPr>
              <w:t>12.79</w:t>
            </w:r>
            <w:r w:rsidRPr="00305443">
              <w:rPr>
                <w:rFonts w:ascii="Times New Roman" w:hAnsi="Times New Roman" w:cs="Times New Roman"/>
                <w:sz w:val="20"/>
                <w:szCs w:val="20"/>
              </w:rPr>
              <w:t>%</w:t>
            </w:r>
          </w:p>
        </w:tc>
      </w:tr>
      <w:tr w:rsidR="00BC72B3" w:rsidRPr="00305443" w14:paraId="4B5F2A1F" w14:textId="77777777" w:rsidTr="000E0A15">
        <w:trPr>
          <w:trHeight w:val="432"/>
          <w:jc w:val="center"/>
        </w:trPr>
        <w:tc>
          <w:tcPr>
            <w:tcW w:w="709" w:type="dxa"/>
          </w:tcPr>
          <w:p w14:paraId="4EA30221" w14:textId="77777777" w:rsidR="00BC72B3" w:rsidRPr="00305443" w:rsidRDefault="00BC72B3" w:rsidP="000E0A15">
            <w:pPr>
              <w:pStyle w:val="NormalWeb"/>
              <w:spacing w:before="0" w:beforeAutospacing="0" w:after="0" w:afterAutospacing="0"/>
              <w:jc w:val="center"/>
              <w:rPr>
                <w:sz w:val="20"/>
                <w:szCs w:val="20"/>
              </w:rPr>
            </w:pPr>
            <w:r w:rsidRPr="00305443">
              <w:rPr>
                <w:sz w:val="20"/>
                <w:szCs w:val="20"/>
              </w:rPr>
              <w:t>6</w:t>
            </w:r>
          </w:p>
        </w:tc>
        <w:tc>
          <w:tcPr>
            <w:tcW w:w="2268" w:type="dxa"/>
          </w:tcPr>
          <w:p w14:paraId="5E957A83" w14:textId="77777777" w:rsidR="00BC72B3" w:rsidRPr="00305443" w:rsidRDefault="00BC72B3" w:rsidP="000E0A15">
            <w:pPr>
              <w:pStyle w:val="NormalWeb"/>
              <w:spacing w:before="0" w:beforeAutospacing="0" w:after="0" w:afterAutospacing="0"/>
              <w:jc w:val="center"/>
              <w:rPr>
                <w:rStyle w:val="Emphasis"/>
                <w:sz w:val="20"/>
                <w:szCs w:val="20"/>
                <w:lang w:val="en-US"/>
              </w:rPr>
            </w:pPr>
            <w:r w:rsidRPr="00305443">
              <w:rPr>
                <w:rStyle w:val="Emphasis"/>
                <w:i w:val="0"/>
                <w:sz w:val="20"/>
                <w:szCs w:val="20"/>
                <w:lang w:val="en-US"/>
              </w:rPr>
              <w:t>SB "KZI Bank”</w:t>
            </w:r>
          </w:p>
        </w:tc>
        <w:tc>
          <w:tcPr>
            <w:tcW w:w="1809" w:type="dxa"/>
          </w:tcPr>
          <w:p w14:paraId="2789DB38" w14:textId="77777777" w:rsidR="00BC72B3" w:rsidRPr="00305443" w:rsidRDefault="00BC72B3" w:rsidP="000E0A15">
            <w:pPr>
              <w:spacing w:after="300"/>
              <w:jc w:val="center"/>
              <w:rPr>
                <w:rFonts w:ascii="Times New Roman" w:hAnsi="Times New Roman" w:cs="Times New Roman"/>
                <w:b/>
                <w:sz w:val="20"/>
                <w:szCs w:val="20"/>
              </w:rPr>
            </w:pPr>
            <w:r w:rsidRPr="00305443">
              <w:rPr>
                <w:rStyle w:val="Strong"/>
                <w:rFonts w:ascii="Times New Roman" w:hAnsi="Times New Roman" w:cs="Times New Roman"/>
                <w:b w:val="0"/>
                <w:sz w:val="20"/>
                <w:szCs w:val="20"/>
              </w:rPr>
              <w:t>5 10</w:t>
            </w:r>
          </w:p>
        </w:tc>
        <w:tc>
          <w:tcPr>
            <w:tcW w:w="4536" w:type="dxa"/>
          </w:tcPr>
          <w:p w14:paraId="6EABAED6" w14:textId="77777777" w:rsidR="00BC72B3" w:rsidRPr="00305443" w:rsidRDefault="00BC72B3" w:rsidP="000E0A15">
            <w:pPr>
              <w:spacing w:after="300"/>
              <w:jc w:val="center"/>
              <w:rPr>
                <w:rFonts w:ascii="Times New Roman" w:hAnsi="Times New Roman" w:cs="Times New Roman"/>
                <w:sz w:val="20"/>
                <w:szCs w:val="20"/>
              </w:rPr>
            </w:pPr>
            <w:r w:rsidRPr="00305443">
              <w:rPr>
                <w:rStyle w:val="minus"/>
                <w:rFonts w:ascii="Times New Roman" w:hAnsi="Times New Roman" w:cs="Times New Roman"/>
                <w:bCs/>
                <w:sz w:val="20"/>
                <w:szCs w:val="20"/>
              </w:rPr>
              <w:t>-11.51</w:t>
            </w:r>
            <w:r w:rsidRPr="00305443">
              <w:rPr>
                <w:rFonts w:ascii="Times New Roman" w:hAnsi="Times New Roman" w:cs="Times New Roman"/>
                <w:sz w:val="20"/>
                <w:szCs w:val="20"/>
              </w:rPr>
              <w:t>%</w:t>
            </w:r>
          </w:p>
        </w:tc>
      </w:tr>
    </w:tbl>
    <w:p w14:paraId="1CDFD423"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p>
    <w:p w14:paraId="51D9F345"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In accordance with Table 1, Kazkommertsbank is the leader in terms of assets with an aggregate amount of 5,045 b</w:t>
      </w:r>
      <w:r w:rsidR="001674B3">
        <w:rPr>
          <w:rStyle w:val="Emphasis"/>
          <w:rFonts w:ascii="Times New Roman" w:hAnsi="Times New Roman" w:cs="Times New Roman"/>
          <w:i w:val="0"/>
          <w:sz w:val="28"/>
          <w:szCs w:val="28"/>
          <w:lang w:val="en-US"/>
        </w:rPr>
        <w:t>illio</w:t>
      </w:r>
      <w:r w:rsidRPr="00305443">
        <w:rPr>
          <w:rStyle w:val="Emphasis"/>
          <w:rFonts w:ascii="Times New Roman" w:hAnsi="Times New Roman" w:cs="Times New Roman"/>
          <w:i w:val="0"/>
          <w:sz w:val="28"/>
          <w:szCs w:val="28"/>
          <w:lang w:val="en-US"/>
        </w:rPr>
        <w:t>n tenge. [1,2,3,4,5,6]</w:t>
      </w:r>
    </w:p>
    <w:p w14:paraId="31566C84"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For the period under review, the balance sheets of Halyk Bank, ATF Bank, ForteBank are increased, and accordingly balance sheets of Kazkommertsbank, Bank CenterCredit, SB KZI Bank decreased.</w:t>
      </w:r>
    </w:p>
    <w:p w14:paraId="5B8DE49C" w14:textId="77777777" w:rsidR="00BC72B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According to the rating assigned by the international agency Moody's Investors Service, most of the studied banks have an “E” rating, which means very limited independent financial stability. The results are shown in Table 2. [7,8,9]</w:t>
      </w:r>
    </w:p>
    <w:p w14:paraId="6D881AA6"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p>
    <w:p w14:paraId="19733450" w14:textId="77777777" w:rsidR="00BC72B3" w:rsidRPr="00305443" w:rsidRDefault="00BC72B3" w:rsidP="00BC72B3">
      <w:pPr>
        <w:spacing w:after="0" w:line="360" w:lineRule="auto"/>
        <w:ind w:firstLine="454"/>
        <w:jc w:val="center"/>
        <w:rPr>
          <w:rStyle w:val="Emphasis"/>
          <w:rFonts w:ascii="Times New Roman" w:hAnsi="Times New Roman" w:cs="Times New Roman"/>
          <w:i w:val="0"/>
          <w:sz w:val="20"/>
          <w:szCs w:val="20"/>
          <w:lang w:val="en-US"/>
        </w:rPr>
      </w:pPr>
      <w:r w:rsidRPr="00305443">
        <w:rPr>
          <w:rStyle w:val="Emphasis"/>
          <w:rFonts w:ascii="Times New Roman" w:hAnsi="Times New Roman" w:cs="Times New Roman"/>
          <w:i w:val="0"/>
          <w:sz w:val="20"/>
          <w:szCs w:val="20"/>
          <w:lang w:val="en-US"/>
        </w:rPr>
        <w:t>Table 2 — International ranking of the studied banks</w:t>
      </w:r>
    </w:p>
    <w:tbl>
      <w:tblPr>
        <w:tblStyle w:val="TableGrid"/>
        <w:tblW w:w="9571" w:type="dxa"/>
        <w:jc w:val="center"/>
        <w:tblLook w:val="04A0" w:firstRow="1" w:lastRow="0" w:firstColumn="1" w:lastColumn="0" w:noHBand="0" w:noVBand="1"/>
      </w:tblPr>
      <w:tblGrid>
        <w:gridCol w:w="2223"/>
        <w:gridCol w:w="2381"/>
        <w:gridCol w:w="2360"/>
        <w:gridCol w:w="2607"/>
      </w:tblGrid>
      <w:tr w:rsidR="00BC72B3" w:rsidRPr="00305443" w14:paraId="17A72FB7" w14:textId="77777777" w:rsidTr="000E0A15">
        <w:trPr>
          <w:jc w:val="center"/>
        </w:trPr>
        <w:tc>
          <w:tcPr>
            <w:tcW w:w="2223" w:type="dxa"/>
          </w:tcPr>
          <w:p w14:paraId="73AAAB04"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rStyle w:val="rvts225538"/>
                <w:rFonts w:eastAsia="Calibri"/>
                <w:sz w:val="20"/>
                <w:szCs w:val="20"/>
              </w:rPr>
              <w:t>Rating</w:t>
            </w:r>
          </w:p>
        </w:tc>
        <w:tc>
          <w:tcPr>
            <w:tcW w:w="2381" w:type="dxa"/>
          </w:tcPr>
          <w:p w14:paraId="756F9D01"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sz w:val="20"/>
                <w:szCs w:val="20"/>
              </w:rPr>
              <w:t>Standard&amp;Poor's</w:t>
            </w:r>
          </w:p>
        </w:tc>
        <w:tc>
          <w:tcPr>
            <w:tcW w:w="2360" w:type="dxa"/>
          </w:tcPr>
          <w:p w14:paraId="55E72693" w14:textId="77777777" w:rsidR="00BC72B3" w:rsidRPr="00305443" w:rsidRDefault="00BC72B3" w:rsidP="000E0A15">
            <w:pPr>
              <w:pStyle w:val="NormalWeb"/>
              <w:spacing w:before="0" w:beforeAutospacing="0" w:after="0" w:afterAutospacing="0"/>
              <w:jc w:val="center"/>
              <w:rPr>
                <w:rStyle w:val="rvts225538"/>
                <w:sz w:val="20"/>
                <w:szCs w:val="20"/>
              </w:rPr>
            </w:pPr>
            <w:r w:rsidRPr="00305443">
              <w:rPr>
                <w:sz w:val="20"/>
                <w:szCs w:val="20"/>
                <w:lang w:val="en-US"/>
              </w:rPr>
              <w:t>Moody</w:t>
            </w:r>
            <w:r w:rsidRPr="00305443">
              <w:rPr>
                <w:sz w:val="20"/>
                <w:szCs w:val="20"/>
              </w:rPr>
              <w:t>'</w:t>
            </w:r>
            <w:r w:rsidRPr="00305443">
              <w:rPr>
                <w:sz w:val="20"/>
                <w:szCs w:val="20"/>
                <w:lang w:val="en-US"/>
              </w:rPr>
              <w:t>s</w:t>
            </w:r>
            <w:r w:rsidRPr="00305443">
              <w:rPr>
                <w:sz w:val="20"/>
                <w:szCs w:val="20"/>
              </w:rPr>
              <w:t xml:space="preserve"> </w:t>
            </w:r>
            <w:r w:rsidRPr="00305443">
              <w:rPr>
                <w:sz w:val="20"/>
                <w:szCs w:val="20"/>
                <w:lang w:val="en-US"/>
              </w:rPr>
              <w:t>Investors</w:t>
            </w:r>
            <w:r w:rsidRPr="00305443">
              <w:rPr>
                <w:sz w:val="20"/>
                <w:szCs w:val="20"/>
              </w:rPr>
              <w:t xml:space="preserve"> </w:t>
            </w:r>
            <w:r w:rsidRPr="00305443">
              <w:rPr>
                <w:sz w:val="20"/>
                <w:szCs w:val="20"/>
                <w:lang w:val="en-US"/>
              </w:rPr>
              <w:t>Service</w:t>
            </w:r>
          </w:p>
        </w:tc>
        <w:tc>
          <w:tcPr>
            <w:tcW w:w="2607" w:type="dxa"/>
          </w:tcPr>
          <w:p w14:paraId="1FBFAEF2"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sz w:val="20"/>
                <w:szCs w:val="20"/>
                <w:lang w:val="en-US"/>
              </w:rPr>
              <w:t>Fitch</w:t>
            </w:r>
            <w:r w:rsidRPr="00305443">
              <w:rPr>
                <w:sz w:val="20"/>
                <w:szCs w:val="20"/>
              </w:rPr>
              <w:t xml:space="preserve"> </w:t>
            </w:r>
            <w:r w:rsidRPr="00305443">
              <w:rPr>
                <w:sz w:val="20"/>
                <w:szCs w:val="20"/>
                <w:lang w:val="en-US"/>
              </w:rPr>
              <w:t>Ratings</w:t>
            </w:r>
          </w:p>
        </w:tc>
      </w:tr>
      <w:tr w:rsidR="00BC72B3" w:rsidRPr="00305443" w14:paraId="0AD09026" w14:textId="77777777" w:rsidTr="000E0A15">
        <w:trPr>
          <w:jc w:val="center"/>
        </w:trPr>
        <w:tc>
          <w:tcPr>
            <w:tcW w:w="2223" w:type="dxa"/>
          </w:tcPr>
          <w:p w14:paraId="03DE42FF"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rvts225538"/>
                <w:rFonts w:eastAsia="Calibri"/>
                <w:sz w:val="20"/>
                <w:szCs w:val="20"/>
                <w:lang w:val="en-US"/>
              </w:rPr>
              <w:t>ATF Bank</w:t>
            </w:r>
          </w:p>
        </w:tc>
        <w:tc>
          <w:tcPr>
            <w:tcW w:w="2381" w:type="dxa"/>
          </w:tcPr>
          <w:p w14:paraId="00BCD701"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rStyle w:val="rvts225538"/>
                <w:rFonts w:eastAsia="Calibri"/>
                <w:sz w:val="20"/>
                <w:szCs w:val="20"/>
              </w:rPr>
              <w:t>-</w:t>
            </w:r>
          </w:p>
        </w:tc>
        <w:tc>
          <w:tcPr>
            <w:tcW w:w="2360" w:type="dxa"/>
          </w:tcPr>
          <w:p w14:paraId="6790F4D6"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Strong"/>
                <w:b w:val="0"/>
                <w:sz w:val="20"/>
                <w:szCs w:val="20"/>
                <w:lang w:val="en-US"/>
              </w:rPr>
              <w:t>E</w:t>
            </w:r>
            <w:r w:rsidRPr="00305443">
              <w:rPr>
                <w:rStyle w:val="Strong"/>
                <w:b w:val="0"/>
                <w:sz w:val="20"/>
                <w:szCs w:val="20"/>
              </w:rPr>
              <w:t>/«Stable»</w:t>
            </w:r>
          </w:p>
        </w:tc>
        <w:tc>
          <w:tcPr>
            <w:tcW w:w="2607" w:type="dxa"/>
          </w:tcPr>
          <w:p w14:paraId="3F0DADC7"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Strong"/>
                <w:b w:val="0"/>
                <w:sz w:val="20"/>
                <w:szCs w:val="20"/>
              </w:rPr>
              <w:t>В-</w:t>
            </w:r>
            <w:proofErr w:type="gramStart"/>
            <w:r w:rsidRPr="00305443">
              <w:rPr>
                <w:rStyle w:val="Strong"/>
                <w:b w:val="0"/>
                <w:sz w:val="20"/>
                <w:szCs w:val="20"/>
              </w:rPr>
              <w:t>/«</w:t>
            </w:r>
            <w:proofErr w:type="gramEnd"/>
            <w:r w:rsidRPr="00305443">
              <w:rPr>
                <w:rStyle w:val="Strong"/>
                <w:b w:val="0"/>
                <w:sz w:val="20"/>
                <w:szCs w:val="20"/>
              </w:rPr>
              <w:t>Stable»</w:t>
            </w:r>
          </w:p>
        </w:tc>
      </w:tr>
      <w:tr w:rsidR="00BC72B3" w:rsidRPr="00305443" w14:paraId="340098BB" w14:textId="77777777" w:rsidTr="000E0A15">
        <w:trPr>
          <w:jc w:val="center"/>
        </w:trPr>
        <w:tc>
          <w:tcPr>
            <w:tcW w:w="2223" w:type="dxa"/>
          </w:tcPr>
          <w:p w14:paraId="7E36C802"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rvts225538"/>
                <w:rFonts w:eastAsia="Calibri"/>
                <w:sz w:val="20"/>
                <w:szCs w:val="20"/>
                <w:lang w:val="en-US"/>
              </w:rPr>
              <w:t>Bank Centercredit</w:t>
            </w:r>
          </w:p>
        </w:tc>
        <w:tc>
          <w:tcPr>
            <w:tcW w:w="2381" w:type="dxa"/>
          </w:tcPr>
          <w:p w14:paraId="16A3FC80" w14:textId="77777777" w:rsidR="00BC72B3" w:rsidRPr="00305443" w:rsidRDefault="00BC72B3" w:rsidP="000E0A15">
            <w:pPr>
              <w:pStyle w:val="NormalWeb"/>
              <w:spacing w:before="0" w:beforeAutospacing="0" w:after="0" w:afterAutospacing="0"/>
              <w:jc w:val="center"/>
              <w:rPr>
                <w:rStyle w:val="rvts225538"/>
                <w:rFonts w:eastAsia="Calibri"/>
                <w:b/>
                <w:sz w:val="20"/>
                <w:szCs w:val="20"/>
                <w:lang w:val="en-US"/>
              </w:rPr>
            </w:pPr>
            <w:r w:rsidRPr="00305443">
              <w:rPr>
                <w:rStyle w:val="Strong"/>
                <w:b w:val="0"/>
                <w:sz w:val="20"/>
                <w:szCs w:val="20"/>
              </w:rPr>
              <w:t>B+/</w:t>
            </w:r>
            <w:r w:rsidRPr="00305443">
              <w:rPr>
                <w:rStyle w:val="Strong"/>
                <w:b w:val="0"/>
                <w:sz w:val="20"/>
                <w:szCs w:val="20"/>
                <w:lang w:val="en-US"/>
              </w:rPr>
              <w:t>S</w:t>
            </w:r>
            <w:r w:rsidRPr="00305443">
              <w:rPr>
                <w:rStyle w:val="Strong"/>
                <w:b w:val="0"/>
                <w:sz w:val="20"/>
                <w:szCs w:val="20"/>
              </w:rPr>
              <w:t>table</w:t>
            </w:r>
          </w:p>
        </w:tc>
        <w:tc>
          <w:tcPr>
            <w:tcW w:w="2360" w:type="dxa"/>
          </w:tcPr>
          <w:p w14:paraId="2C1A7313" w14:textId="77777777" w:rsidR="00BC72B3" w:rsidRPr="00305443" w:rsidRDefault="00BC72B3" w:rsidP="000E0A15">
            <w:pPr>
              <w:pStyle w:val="NormalWeb"/>
              <w:spacing w:before="0" w:beforeAutospacing="0" w:after="0" w:afterAutospacing="0"/>
              <w:jc w:val="center"/>
              <w:rPr>
                <w:rStyle w:val="rvts225538"/>
                <w:rFonts w:eastAsia="Calibri"/>
                <w:b/>
                <w:sz w:val="20"/>
                <w:szCs w:val="20"/>
                <w:lang w:val="en-US"/>
              </w:rPr>
            </w:pPr>
            <w:r w:rsidRPr="00305443">
              <w:rPr>
                <w:rStyle w:val="Strong"/>
                <w:b w:val="0"/>
                <w:sz w:val="20"/>
                <w:szCs w:val="20"/>
                <w:lang w:val="en-US"/>
              </w:rPr>
              <w:t>E+</w:t>
            </w:r>
          </w:p>
        </w:tc>
        <w:tc>
          <w:tcPr>
            <w:tcW w:w="2607" w:type="dxa"/>
          </w:tcPr>
          <w:p w14:paraId="0DBD58B4" w14:textId="77777777" w:rsidR="00BC72B3" w:rsidRPr="00305443" w:rsidRDefault="00BC72B3" w:rsidP="000E0A15">
            <w:pPr>
              <w:pStyle w:val="NormalWeb"/>
              <w:spacing w:before="0" w:beforeAutospacing="0" w:after="0" w:afterAutospacing="0"/>
              <w:jc w:val="center"/>
              <w:rPr>
                <w:rStyle w:val="rvts225538"/>
                <w:rFonts w:eastAsia="Calibri"/>
                <w:b/>
                <w:sz w:val="20"/>
                <w:szCs w:val="20"/>
                <w:lang w:val="en-US"/>
              </w:rPr>
            </w:pPr>
            <w:r w:rsidRPr="00305443">
              <w:rPr>
                <w:rStyle w:val="Strong"/>
                <w:b w:val="0"/>
                <w:sz w:val="20"/>
                <w:szCs w:val="20"/>
              </w:rPr>
              <w:t>B</w:t>
            </w:r>
            <w:proofErr w:type="gramStart"/>
            <w:r w:rsidRPr="00305443">
              <w:rPr>
                <w:rStyle w:val="Strong"/>
                <w:b w:val="0"/>
                <w:sz w:val="20"/>
                <w:szCs w:val="20"/>
              </w:rPr>
              <w:t>/«</w:t>
            </w:r>
            <w:proofErr w:type="gramEnd"/>
            <w:r w:rsidRPr="00305443">
              <w:rPr>
                <w:rStyle w:val="Strong"/>
                <w:b w:val="0"/>
                <w:sz w:val="20"/>
                <w:szCs w:val="20"/>
              </w:rPr>
              <w:t>Stable»</w:t>
            </w:r>
          </w:p>
        </w:tc>
      </w:tr>
      <w:tr w:rsidR="00BC72B3" w:rsidRPr="00305443" w14:paraId="173547B0" w14:textId="77777777" w:rsidTr="000E0A15">
        <w:trPr>
          <w:jc w:val="center"/>
        </w:trPr>
        <w:tc>
          <w:tcPr>
            <w:tcW w:w="2223" w:type="dxa"/>
          </w:tcPr>
          <w:p w14:paraId="15EFFF46"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rvts225538"/>
                <w:rFonts w:eastAsia="Calibri"/>
                <w:sz w:val="20"/>
                <w:szCs w:val="20"/>
                <w:lang w:val="en-US"/>
              </w:rPr>
              <w:t>Halyk bank</w:t>
            </w:r>
          </w:p>
        </w:tc>
        <w:tc>
          <w:tcPr>
            <w:tcW w:w="2381" w:type="dxa"/>
          </w:tcPr>
          <w:p w14:paraId="3320E2E4"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sz w:val="20"/>
                <w:szCs w:val="20"/>
              </w:rPr>
              <w:t>ВВ/</w:t>
            </w:r>
            <w:r w:rsidRPr="00305443">
              <w:rPr>
                <w:rStyle w:val="Strong"/>
                <w:b w:val="0"/>
                <w:sz w:val="20"/>
                <w:szCs w:val="20"/>
              </w:rPr>
              <w:t xml:space="preserve"> Stable</w:t>
            </w:r>
          </w:p>
        </w:tc>
        <w:tc>
          <w:tcPr>
            <w:tcW w:w="2360" w:type="dxa"/>
          </w:tcPr>
          <w:p w14:paraId="0FAD2317"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sz w:val="20"/>
                <w:szCs w:val="20"/>
                <w:lang w:val="en-US"/>
              </w:rPr>
              <w:t>D-</w:t>
            </w:r>
          </w:p>
        </w:tc>
        <w:tc>
          <w:tcPr>
            <w:tcW w:w="2607" w:type="dxa"/>
          </w:tcPr>
          <w:p w14:paraId="0027F02B"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Strong"/>
                <w:b w:val="0"/>
                <w:sz w:val="20"/>
                <w:szCs w:val="20"/>
              </w:rPr>
              <w:t>ВВ</w:t>
            </w:r>
            <w:proofErr w:type="gramStart"/>
            <w:r w:rsidRPr="00305443">
              <w:rPr>
                <w:rStyle w:val="Strong"/>
                <w:b w:val="0"/>
                <w:sz w:val="20"/>
                <w:szCs w:val="20"/>
              </w:rPr>
              <w:t>/«</w:t>
            </w:r>
            <w:proofErr w:type="gramEnd"/>
            <w:r w:rsidRPr="00305443">
              <w:rPr>
                <w:rStyle w:val="Strong"/>
                <w:b w:val="0"/>
                <w:sz w:val="20"/>
                <w:szCs w:val="20"/>
              </w:rPr>
              <w:t>Stable»</w:t>
            </w:r>
          </w:p>
        </w:tc>
      </w:tr>
      <w:tr w:rsidR="00BC72B3" w:rsidRPr="00305443" w14:paraId="76F86849" w14:textId="77777777" w:rsidTr="000E0A15">
        <w:trPr>
          <w:jc w:val="center"/>
        </w:trPr>
        <w:tc>
          <w:tcPr>
            <w:tcW w:w="2223" w:type="dxa"/>
          </w:tcPr>
          <w:p w14:paraId="720BE8E7"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rvts225538"/>
                <w:rFonts w:eastAsia="Calibri"/>
                <w:iCs/>
                <w:sz w:val="20"/>
                <w:szCs w:val="20"/>
                <w:lang w:val="en-US"/>
              </w:rPr>
              <w:t>Kazkommertsbank</w:t>
            </w:r>
          </w:p>
        </w:tc>
        <w:tc>
          <w:tcPr>
            <w:tcW w:w="2381" w:type="dxa"/>
          </w:tcPr>
          <w:p w14:paraId="4DF2D671" w14:textId="77777777" w:rsidR="00BC72B3" w:rsidRPr="00305443" w:rsidRDefault="00BC72B3" w:rsidP="000E0A15">
            <w:pPr>
              <w:pStyle w:val="NormalWeb"/>
              <w:spacing w:before="0" w:beforeAutospacing="0" w:after="0" w:afterAutospacing="0"/>
              <w:jc w:val="center"/>
              <w:rPr>
                <w:rStyle w:val="rvts225538"/>
                <w:rFonts w:eastAsia="Calibri"/>
                <w:b/>
                <w:sz w:val="20"/>
                <w:szCs w:val="20"/>
                <w:lang w:val="en-US"/>
              </w:rPr>
            </w:pPr>
            <w:r w:rsidRPr="00305443">
              <w:rPr>
                <w:rStyle w:val="Strong"/>
                <w:b w:val="0"/>
                <w:sz w:val="20"/>
                <w:szCs w:val="20"/>
              </w:rPr>
              <w:t>В-/</w:t>
            </w:r>
            <w:r w:rsidRPr="00305443">
              <w:rPr>
                <w:b/>
                <w:sz w:val="20"/>
                <w:szCs w:val="20"/>
              </w:rPr>
              <w:t xml:space="preserve"> </w:t>
            </w:r>
            <w:r w:rsidRPr="00305443">
              <w:rPr>
                <w:rStyle w:val="Strong"/>
                <w:b w:val="0"/>
                <w:sz w:val="20"/>
                <w:szCs w:val="20"/>
              </w:rPr>
              <w:t>Negative</w:t>
            </w:r>
          </w:p>
        </w:tc>
        <w:tc>
          <w:tcPr>
            <w:tcW w:w="2360" w:type="dxa"/>
          </w:tcPr>
          <w:p w14:paraId="78198816" w14:textId="77777777" w:rsidR="00BC72B3" w:rsidRPr="00305443" w:rsidRDefault="00BC72B3" w:rsidP="000E0A15">
            <w:pPr>
              <w:pStyle w:val="NormalWeb"/>
              <w:spacing w:before="0" w:beforeAutospacing="0" w:after="0" w:afterAutospacing="0"/>
              <w:jc w:val="center"/>
              <w:rPr>
                <w:rStyle w:val="rvts225538"/>
                <w:rFonts w:eastAsia="Calibri"/>
                <w:b/>
                <w:sz w:val="20"/>
                <w:szCs w:val="20"/>
              </w:rPr>
            </w:pPr>
            <w:r w:rsidRPr="00305443">
              <w:rPr>
                <w:rStyle w:val="Strong"/>
                <w:b w:val="0"/>
                <w:sz w:val="20"/>
                <w:szCs w:val="20"/>
              </w:rPr>
              <w:t>Е</w:t>
            </w:r>
          </w:p>
        </w:tc>
        <w:tc>
          <w:tcPr>
            <w:tcW w:w="2607" w:type="dxa"/>
          </w:tcPr>
          <w:p w14:paraId="0686A86F" w14:textId="77777777" w:rsidR="00BC72B3" w:rsidRPr="00305443" w:rsidRDefault="00BC72B3" w:rsidP="000E0A15">
            <w:pPr>
              <w:pStyle w:val="NormalWeb"/>
              <w:spacing w:before="0" w:beforeAutospacing="0" w:after="0" w:afterAutospacing="0"/>
              <w:jc w:val="center"/>
              <w:rPr>
                <w:rStyle w:val="rvts225538"/>
                <w:rFonts w:eastAsia="Calibri"/>
                <w:b/>
                <w:sz w:val="20"/>
                <w:szCs w:val="20"/>
                <w:lang w:val="en-US"/>
              </w:rPr>
            </w:pPr>
            <w:r w:rsidRPr="00305443">
              <w:rPr>
                <w:rStyle w:val="Strong"/>
                <w:b w:val="0"/>
                <w:sz w:val="20"/>
                <w:szCs w:val="20"/>
              </w:rPr>
              <w:t>В-</w:t>
            </w:r>
            <w:proofErr w:type="gramStart"/>
            <w:r w:rsidRPr="00305443">
              <w:rPr>
                <w:rStyle w:val="Strong"/>
                <w:b w:val="0"/>
                <w:sz w:val="20"/>
                <w:szCs w:val="20"/>
              </w:rPr>
              <w:t>/«</w:t>
            </w:r>
            <w:r w:rsidRPr="00305443">
              <w:rPr>
                <w:b/>
                <w:sz w:val="20"/>
                <w:szCs w:val="20"/>
              </w:rPr>
              <w:t xml:space="preserve"> </w:t>
            </w:r>
            <w:r w:rsidRPr="00305443">
              <w:rPr>
                <w:rStyle w:val="Strong"/>
                <w:b w:val="0"/>
                <w:sz w:val="20"/>
                <w:szCs w:val="20"/>
              </w:rPr>
              <w:t>Stable</w:t>
            </w:r>
            <w:proofErr w:type="gramEnd"/>
            <w:r w:rsidRPr="00305443">
              <w:rPr>
                <w:rStyle w:val="Strong"/>
                <w:b w:val="0"/>
                <w:sz w:val="20"/>
                <w:szCs w:val="20"/>
              </w:rPr>
              <w:t>»</w:t>
            </w:r>
          </w:p>
        </w:tc>
      </w:tr>
      <w:tr w:rsidR="00BC72B3" w:rsidRPr="00305443" w14:paraId="53088F2C" w14:textId="77777777" w:rsidTr="000E0A15">
        <w:trPr>
          <w:jc w:val="center"/>
        </w:trPr>
        <w:tc>
          <w:tcPr>
            <w:tcW w:w="2223" w:type="dxa"/>
          </w:tcPr>
          <w:p w14:paraId="32C5C10A"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rvts225538"/>
                <w:rFonts w:eastAsia="Calibri"/>
                <w:sz w:val="20"/>
                <w:szCs w:val="20"/>
                <w:lang w:val="en-US"/>
              </w:rPr>
              <w:t>ForteBank</w:t>
            </w:r>
          </w:p>
        </w:tc>
        <w:tc>
          <w:tcPr>
            <w:tcW w:w="2381" w:type="dxa"/>
          </w:tcPr>
          <w:p w14:paraId="678B74AC" w14:textId="77777777" w:rsidR="00BC72B3" w:rsidRPr="00305443" w:rsidRDefault="00BC72B3" w:rsidP="000E0A15">
            <w:pPr>
              <w:pStyle w:val="NormalWeb"/>
              <w:spacing w:before="0" w:beforeAutospacing="0" w:after="0" w:afterAutospacing="0"/>
              <w:jc w:val="center"/>
              <w:rPr>
                <w:rStyle w:val="rvts225538"/>
                <w:rFonts w:eastAsia="Calibri"/>
                <w:b/>
                <w:sz w:val="20"/>
                <w:szCs w:val="20"/>
                <w:lang w:val="en-US"/>
              </w:rPr>
            </w:pPr>
            <w:r w:rsidRPr="00305443">
              <w:rPr>
                <w:sz w:val="20"/>
                <w:szCs w:val="20"/>
              </w:rPr>
              <w:t>В</w:t>
            </w:r>
            <w:r w:rsidRPr="00305443">
              <w:rPr>
                <w:b/>
                <w:sz w:val="20"/>
                <w:szCs w:val="20"/>
              </w:rPr>
              <w:t>/</w:t>
            </w:r>
            <w:r w:rsidRPr="00305443">
              <w:rPr>
                <w:rStyle w:val="Strong"/>
                <w:b w:val="0"/>
                <w:sz w:val="20"/>
                <w:szCs w:val="20"/>
              </w:rPr>
              <w:t xml:space="preserve"> Stable</w:t>
            </w:r>
          </w:p>
        </w:tc>
        <w:tc>
          <w:tcPr>
            <w:tcW w:w="2360" w:type="dxa"/>
          </w:tcPr>
          <w:p w14:paraId="6C07D4BB"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rStyle w:val="rvts225538"/>
                <w:rFonts w:eastAsia="Calibri"/>
                <w:sz w:val="20"/>
                <w:szCs w:val="20"/>
              </w:rPr>
              <w:t>-</w:t>
            </w:r>
          </w:p>
        </w:tc>
        <w:tc>
          <w:tcPr>
            <w:tcW w:w="2607" w:type="dxa"/>
          </w:tcPr>
          <w:p w14:paraId="0378F981"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rStyle w:val="rvts225538"/>
                <w:rFonts w:eastAsia="Calibri"/>
                <w:sz w:val="20"/>
                <w:szCs w:val="20"/>
              </w:rPr>
              <w:t>-</w:t>
            </w:r>
          </w:p>
        </w:tc>
      </w:tr>
      <w:tr w:rsidR="00BC72B3" w:rsidRPr="00305443" w14:paraId="0F781649" w14:textId="77777777" w:rsidTr="000E0A15">
        <w:trPr>
          <w:jc w:val="center"/>
        </w:trPr>
        <w:tc>
          <w:tcPr>
            <w:tcW w:w="2223" w:type="dxa"/>
          </w:tcPr>
          <w:p w14:paraId="0A696580" w14:textId="77777777" w:rsidR="00BC72B3" w:rsidRPr="00305443" w:rsidRDefault="00BC72B3" w:rsidP="000E0A15">
            <w:pPr>
              <w:pStyle w:val="NormalWeb"/>
              <w:spacing w:before="0" w:beforeAutospacing="0" w:after="0" w:afterAutospacing="0"/>
              <w:jc w:val="center"/>
              <w:rPr>
                <w:rStyle w:val="rvts225538"/>
                <w:rFonts w:eastAsia="Calibri"/>
                <w:sz w:val="20"/>
                <w:szCs w:val="20"/>
                <w:lang w:val="en-US"/>
              </w:rPr>
            </w:pPr>
            <w:r w:rsidRPr="00305443">
              <w:rPr>
                <w:rStyle w:val="rvts225538"/>
                <w:rFonts w:eastAsia="Calibri"/>
                <w:iCs/>
                <w:sz w:val="20"/>
                <w:szCs w:val="20"/>
                <w:lang w:val="en-US"/>
              </w:rPr>
              <w:t>KZI Bank</w:t>
            </w:r>
          </w:p>
        </w:tc>
        <w:tc>
          <w:tcPr>
            <w:tcW w:w="2381" w:type="dxa"/>
          </w:tcPr>
          <w:p w14:paraId="0867A32A" w14:textId="77777777" w:rsidR="00BC72B3" w:rsidRPr="00305443" w:rsidRDefault="00BC72B3" w:rsidP="000E0A15">
            <w:pPr>
              <w:pStyle w:val="NormalWeb"/>
              <w:spacing w:before="0" w:beforeAutospacing="0" w:after="0" w:afterAutospacing="0"/>
              <w:jc w:val="center"/>
              <w:rPr>
                <w:b/>
                <w:sz w:val="20"/>
                <w:szCs w:val="20"/>
                <w:lang w:val="en-US"/>
              </w:rPr>
            </w:pPr>
            <w:r w:rsidRPr="00305443">
              <w:rPr>
                <w:bCs/>
                <w:sz w:val="20"/>
                <w:szCs w:val="20"/>
              </w:rPr>
              <w:t>B</w:t>
            </w:r>
            <w:r w:rsidRPr="00305443">
              <w:rPr>
                <w:b/>
                <w:bCs/>
                <w:sz w:val="20"/>
                <w:szCs w:val="20"/>
              </w:rPr>
              <w:t>-/</w:t>
            </w:r>
            <w:r w:rsidRPr="00305443">
              <w:rPr>
                <w:rStyle w:val="Strong"/>
                <w:b w:val="0"/>
                <w:sz w:val="20"/>
                <w:szCs w:val="20"/>
              </w:rPr>
              <w:t xml:space="preserve"> Stable</w:t>
            </w:r>
          </w:p>
        </w:tc>
        <w:tc>
          <w:tcPr>
            <w:tcW w:w="2360" w:type="dxa"/>
          </w:tcPr>
          <w:p w14:paraId="0AEB3690"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rStyle w:val="rvts225538"/>
                <w:rFonts w:eastAsia="Calibri"/>
                <w:sz w:val="20"/>
                <w:szCs w:val="20"/>
              </w:rPr>
              <w:t>-</w:t>
            </w:r>
          </w:p>
        </w:tc>
        <w:tc>
          <w:tcPr>
            <w:tcW w:w="2607" w:type="dxa"/>
          </w:tcPr>
          <w:p w14:paraId="7C98DD8B" w14:textId="77777777" w:rsidR="00BC72B3" w:rsidRPr="00305443" w:rsidRDefault="00BC72B3" w:rsidP="000E0A15">
            <w:pPr>
              <w:pStyle w:val="NormalWeb"/>
              <w:spacing w:before="0" w:beforeAutospacing="0" w:after="0" w:afterAutospacing="0"/>
              <w:jc w:val="center"/>
              <w:rPr>
                <w:rStyle w:val="rvts225538"/>
                <w:rFonts w:eastAsia="Calibri"/>
                <w:sz w:val="20"/>
                <w:szCs w:val="20"/>
              </w:rPr>
            </w:pPr>
            <w:r w:rsidRPr="00305443">
              <w:rPr>
                <w:rStyle w:val="rvts225538"/>
                <w:rFonts w:eastAsia="Calibri"/>
                <w:sz w:val="20"/>
                <w:szCs w:val="20"/>
              </w:rPr>
              <w:t>-</w:t>
            </w:r>
          </w:p>
        </w:tc>
      </w:tr>
    </w:tbl>
    <w:p w14:paraId="0CFB9A82" w14:textId="77777777" w:rsidR="00BC72B3" w:rsidRPr="00305443" w:rsidRDefault="00BC72B3" w:rsidP="00BC72B3">
      <w:pPr>
        <w:spacing w:after="0" w:line="360" w:lineRule="auto"/>
        <w:ind w:firstLine="454"/>
        <w:jc w:val="center"/>
        <w:rPr>
          <w:rStyle w:val="Emphasis"/>
          <w:rFonts w:ascii="Times New Roman" w:hAnsi="Times New Roman" w:cs="Times New Roman"/>
          <w:i w:val="0"/>
          <w:sz w:val="28"/>
          <w:szCs w:val="28"/>
          <w:lang w:val="en-US"/>
        </w:rPr>
      </w:pPr>
    </w:p>
    <w:p w14:paraId="2B63123E"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Standard &amp; Poor and Fitch Ratings agencies ratings asses</w:t>
      </w:r>
      <w:r w:rsidR="00DA3DA9">
        <w:rPr>
          <w:rStyle w:val="Emphasis"/>
          <w:rFonts w:ascii="Times New Roman" w:hAnsi="Times New Roman" w:cs="Times New Roman"/>
          <w:i w:val="0"/>
          <w:sz w:val="28"/>
          <w:szCs w:val="28"/>
          <w:lang w:val="en-US"/>
        </w:rPr>
        <w:t xml:space="preserve">s the ability of the issuer to </w:t>
      </w:r>
      <w:r w:rsidR="00DA3DA9" w:rsidRPr="00305443">
        <w:rPr>
          <w:rStyle w:val="Emphasis"/>
          <w:rFonts w:ascii="Times New Roman" w:hAnsi="Times New Roman" w:cs="Times New Roman"/>
          <w:i w:val="0"/>
          <w:sz w:val="28"/>
          <w:szCs w:val="28"/>
          <w:lang w:val="en-US"/>
        </w:rPr>
        <w:t>fulfill</w:t>
      </w:r>
      <w:r w:rsidRPr="00305443">
        <w:rPr>
          <w:rStyle w:val="Emphasis"/>
          <w:rFonts w:ascii="Times New Roman" w:hAnsi="Times New Roman" w:cs="Times New Roman"/>
          <w:i w:val="0"/>
          <w:sz w:val="28"/>
          <w:szCs w:val="28"/>
          <w:lang w:val="en-US"/>
        </w:rPr>
        <w:t xml:space="preserve"> its debt obligations</w:t>
      </w:r>
      <w:r w:rsidR="00DA3DA9">
        <w:rPr>
          <w:rStyle w:val="Emphasis"/>
          <w:rFonts w:ascii="Times New Roman" w:hAnsi="Times New Roman" w:cs="Times New Roman"/>
          <w:i w:val="0"/>
          <w:sz w:val="28"/>
          <w:szCs w:val="28"/>
          <w:lang w:val="en-US"/>
        </w:rPr>
        <w:t xml:space="preserve"> on time</w:t>
      </w:r>
      <w:r w:rsidRPr="00305443">
        <w:rPr>
          <w:rStyle w:val="Emphasis"/>
          <w:rFonts w:ascii="Times New Roman" w:hAnsi="Times New Roman" w:cs="Times New Roman"/>
          <w:i w:val="0"/>
          <w:sz w:val="28"/>
          <w:szCs w:val="28"/>
          <w:lang w:val="en-US"/>
        </w:rPr>
        <w:t>. Most of the banks have a B rating, which in turn indicates a higher vulnerability in unfavorable commercial, financial and economic conditions, but currently has the ability to perform the debt on time and in full. The rating outlook shows the possible direction of the rating movement in the next two-three years. The forecast "stable" means that the change is unlikely.</w:t>
      </w:r>
    </w:p>
    <w:p w14:paraId="12BFA407"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Within the </w:t>
      </w:r>
      <w:r w:rsidR="00DA3DA9" w:rsidRPr="00305443">
        <w:rPr>
          <w:rStyle w:val="Emphasis"/>
          <w:rFonts w:ascii="Times New Roman" w:hAnsi="Times New Roman" w:cs="Times New Roman"/>
          <w:i w:val="0"/>
          <w:sz w:val="28"/>
          <w:szCs w:val="28"/>
          <w:lang w:val="en-US"/>
        </w:rPr>
        <w:t>research,</w:t>
      </w:r>
      <w:r w:rsidRPr="00305443">
        <w:rPr>
          <w:rStyle w:val="Emphasis"/>
          <w:rFonts w:ascii="Times New Roman" w:hAnsi="Times New Roman" w:cs="Times New Roman"/>
          <w:i w:val="0"/>
          <w:sz w:val="28"/>
          <w:szCs w:val="28"/>
          <w:lang w:val="en-US"/>
        </w:rPr>
        <w:t xml:space="preserve"> the author conducted </w:t>
      </w:r>
      <w:r w:rsidR="00DA3DA9">
        <w:rPr>
          <w:rStyle w:val="Emphasis"/>
          <w:rFonts w:ascii="Times New Roman" w:hAnsi="Times New Roman" w:cs="Times New Roman"/>
          <w:i w:val="0"/>
          <w:sz w:val="28"/>
          <w:szCs w:val="28"/>
          <w:lang w:val="en-US"/>
        </w:rPr>
        <w:t xml:space="preserve">a </w:t>
      </w:r>
      <w:r w:rsidRPr="00305443">
        <w:rPr>
          <w:rStyle w:val="Emphasis"/>
          <w:rFonts w:ascii="Times New Roman" w:hAnsi="Times New Roman" w:cs="Times New Roman"/>
          <w:i w:val="0"/>
          <w:sz w:val="28"/>
          <w:szCs w:val="28"/>
          <w:lang w:val="en-US"/>
        </w:rPr>
        <w:t>remote survey among the studied regulated banks to assess the current state of compliance in AML/CFT.</w:t>
      </w:r>
    </w:p>
    <w:p w14:paraId="5D04494D"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There were issues associated with the regulation of the compliance control, efficient organization of service, the automated systems of monitoring of customer transactions, facts of dismissal of employees and/or management of banks due to non-compliance with AML/CFT legislation, the most vulnerable to ML products and services, as well as frequently used lists for identification.</w:t>
      </w:r>
    </w:p>
    <w:p w14:paraId="087D07FC" w14:textId="77777777" w:rsidR="00BC72B3" w:rsidRPr="000010A1" w:rsidRDefault="00BC72B3" w:rsidP="00BC72B3">
      <w:pPr>
        <w:spacing w:after="0" w:line="360" w:lineRule="auto"/>
        <w:jc w:val="both"/>
        <w:rPr>
          <w:rStyle w:val="Emphasis"/>
          <w:rFonts w:ascii="Times New Roman" w:hAnsi="Times New Roman" w:cs="Times New Roman"/>
          <w:sz w:val="28"/>
          <w:szCs w:val="28"/>
          <w:lang w:val="en-US"/>
        </w:rPr>
      </w:pPr>
      <w:r w:rsidRPr="000010A1">
        <w:rPr>
          <w:rStyle w:val="Emphasis"/>
          <w:rFonts w:ascii="Times New Roman" w:hAnsi="Times New Roman" w:cs="Times New Roman"/>
          <w:sz w:val="28"/>
          <w:szCs w:val="28"/>
          <w:lang w:val="en-US"/>
        </w:rPr>
        <w:t xml:space="preserve">According to the survey results, the following similar responses of all respondents were obtained: </w:t>
      </w:r>
    </w:p>
    <w:p w14:paraId="3FA80F6F"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 The internal documents regulating AML/CFT issues are the AML/CFT Policy, as well as the Internal Control </w:t>
      </w:r>
      <w:r w:rsidR="00415DAE" w:rsidRPr="00305443">
        <w:rPr>
          <w:rStyle w:val="Emphasis"/>
          <w:rFonts w:ascii="Times New Roman" w:hAnsi="Times New Roman" w:cs="Times New Roman"/>
          <w:i w:val="0"/>
          <w:sz w:val="28"/>
          <w:szCs w:val="28"/>
          <w:lang w:val="en-US"/>
        </w:rPr>
        <w:t>Rules, which</w:t>
      </w:r>
      <w:r w:rsidRPr="00305443">
        <w:rPr>
          <w:rStyle w:val="Emphasis"/>
          <w:rFonts w:ascii="Times New Roman" w:hAnsi="Times New Roman" w:cs="Times New Roman"/>
          <w:i w:val="0"/>
          <w:sz w:val="28"/>
          <w:szCs w:val="28"/>
          <w:lang w:val="en-US"/>
        </w:rPr>
        <w:t xml:space="preserve"> determine the establishment of an internal control system in the bank and its subsidiaries for AML/CFT purposes. Responsible for the implementation of this policy are the Chief Compliance Officer and the Compliance Control Department appointed at the management level;</w:t>
      </w:r>
    </w:p>
    <w:p w14:paraId="2D64FAB4"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no correspondent relations with shell banks;</w:t>
      </w:r>
    </w:p>
    <w:p w14:paraId="15F29C04"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in case of customer identification and monitoring of operations, a risk-based approach is applied;</w:t>
      </w:r>
    </w:p>
    <w:p w14:paraId="17580A04"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it is possible to identify unusual customer transactions in automated systems;</w:t>
      </w:r>
    </w:p>
    <w:p w14:paraId="2784F6A6"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lastRenderedPageBreak/>
        <w:t>- there is no difficulty in obtaining information from foreign sources;</w:t>
      </w:r>
    </w:p>
    <w:p w14:paraId="32F704D0"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the most vulnerable customers for money laundering are legal entities than individuals;</w:t>
      </w:r>
    </w:p>
    <w:p w14:paraId="4980767B"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all new employees are subject to a mandatory AML/CFT course when they are employed in the Bank, and courses for all employees are conducted on an annual basis;</w:t>
      </w:r>
    </w:p>
    <w:p w14:paraId="604E1B22"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there are no facts of dismissal of employees/management of the organization due to non-compliance with AML/CFT legislation.</w:t>
      </w:r>
    </w:p>
    <w:p w14:paraId="2F73C803" w14:textId="77777777" w:rsidR="00BC72B3" w:rsidRPr="000010A1" w:rsidRDefault="00BC72B3" w:rsidP="00BC72B3">
      <w:pPr>
        <w:spacing w:after="0" w:line="360" w:lineRule="auto"/>
        <w:jc w:val="both"/>
        <w:rPr>
          <w:rStyle w:val="Emphasis"/>
          <w:rFonts w:ascii="Times New Roman" w:hAnsi="Times New Roman" w:cs="Times New Roman"/>
          <w:sz w:val="28"/>
          <w:szCs w:val="28"/>
          <w:lang w:val="en-US"/>
        </w:rPr>
      </w:pPr>
      <w:r w:rsidRPr="000010A1">
        <w:rPr>
          <w:rStyle w:val="Emphasis"/>
          <w:rFonts w:ascii="Times New Roman" w:hAnsi="Times New Roman" w:cs="Times New Roman"/>
          <w:sz w:val="28"/>
          <w:szCs w:val="28"/>
          <w:lang w:val="en-US"/>
        </w:rPr>
        <w:t>According to the results of the survey, the most problematic areas were:</w:t>
      </w:r>
    </w:p>
    <w:p w14:paraId="07CCDAB5"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insufficient number of employees to implement the AML/CFT policy (figure 1);</w:t>
      </w:r>
    </w:p>
    <w:p w14:paraId="58EF0D65"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the inability to identify foreign politically exposed persons in automated system (figure 2);</w:t>
      </w:r>
    </w:p>
    <w:p w14:paraId="65E1CC02"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Thus, 66.7% of respondents noted that an average of 2-6 employees work in the compliance service of each branch of the bank. According to respondents' answers, this number of employees is not sufficient to implement an effective AML/CFT policy for the following reasons:</w:t>
      </w:r>
    </w:p>
    <w:p w14:paraId="225C4D48"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significant volume of transactions through the bank;</w:t>
      </w:r>
    </w:p>
    <w:p w14:paraId="4A0D93DB"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a huge amount of management reporting;</w:t>
      </w:r>
    </w:p>
    <w:p w14:paraId="05EE0417"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constant changes and additions of the law on AML/CFT.</w:t>
      </w:r>
    </w:p>
    <w:p w14:paraId="171F9D6E" w14:textId="7C0C512E" w:rsidR="00BC72B3" w:rsidRPr="00305443" w:rsidRDefault="00BC72B3" w:rsidP="00BC72B3">
      <w:pPr>
        <w:spacing w:after="0" w:line="360" w:lineRule="auto"/>
        <w:ind w:firstLine="454"/>
        <w:jc w:val="center"/>
        <w:rPr>
          <w:rStyle w:val="Emphasis"/>
          <w:rFonts w:ascii="Times New Roman" w:hAnsi="Times New Roman" w:cs="Times New Roman"/>
          <w:i w:val="0"/>
          <w:sz w:val="28"/>
          <w:szCs w:val="28"/>
          <w:lang w:val="en-US"/>
        </w:rPr>
      </w:pPr>
      <w:r w:rsidRPr="00305443">
        <w:rPr>
          <w:rFonts w:ascii="Times New Roman" w:hAnsi="Times New Roman" w:cs="Times New Roman"/>
          <w:noProof/>
          <w:sz w:val="28"/>
          <w:szCs w:val="28"/>
          <w:shd w:val="clear" w:color="auto" w:fill="FFFFFF"/>
          <w:lang w:val="en-US"/>
        </w:rPr>
        <w:drawing>
          <wp:inline distT="0" distB="0" distL="0" distR="0" wp14:anchorId="19558AFB" wp14:editId="01C171FD">
            <wp:extent cx="4533900" cy="21250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6374" cy="2140258"/>
                    </a:xfrm>
                    <a:prstGeom prst="rect">
                      <a:avLst/>
                    </a:prstGeom>
                    <a:noFill/>
                    <a:ln>
                      <a:noFill/>
                    </a:ln>
                  </pic:spPr>
                </pic:pic>
              </a:graphicData>
            </a:graphic>
          </wp:inline>
        </w:drawing>
      </w:r>
    </w:p>
    <w:p w14:paraId="32E74BD8" w14:textId="77777777" w:rsidR="00BC72B3" w:rsidRPr="00305443" w:rsidRDefault="00BC72B3" w:rsidP="00BC72B3">
      <w:pPr>
        <w:spacing w:after="0" w:line="360" w:lineRule="auto"/>
        <w:ind w:firstLine="454"/>
        <w:jc w:val="center"/>
        <w:rPr>
          <w:rStyle w:val="Emphasis"/>
          <w:rFonts w:ascii="Times New Roman" w:hAnsi="Times New Roman" w:cs="Times New Roman"/>
          <w:i w:val="0"/>
          <w:sz w:val="20"/>
          <w:szCs w:val="20"/>
          <w:lang w:val="en-US"/>
        </w:rPr>
      </w:pPr>
      <w:r w:rsidRPr="00305443">
        <w:rPr>
          <w:rStyle w:val="Emphasis"/>
          <w:rFonts w:ascii="Times New Roman" w:hAnsi="Times New Roman" w:cs="Times New Roman"/>
          <w:i w:val="0"/>
          <w:sz w:val="20"/>
          <w:szCs w:val="20"/>
          <w:lang w:val="en-US"/>
        </w:rPr>
        <w:t>Figure 1- Diagram according to the results of the answers to question №3</w:t>
      </w:r>
    </w:p>
    <w:p w14:paraId="6E5570DD"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According to respondents' replies, banks use the following automated systems for monitoring customer transactions:</w:t>
      </w:r>
    </w:p>
    <w:p w14:paraId="5ED7AE7E"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 Colvir: Colvir-AML is used for </w:t>
      </w:r>
      <w:r w:rsidR="00415DAE" w:rsidRPr="00305443">
        <w:rPr>
          <w:rStyle w:val="Emphasis"/>
          <w:rFonts w:ascii="Times New Roman" w:hAnsi="Times New Roman" w:cs="Times New Roman"/>
          <w:i w:val="0"/>
          <w:sz w:val="28"/>
          <w:szCs w:val="28"/>
          <w:lang w:val="en-US"/>
        </w:rPr>
        <w:t>identification;</w:t>
      </w:r>
      <w:r w:rsidRPr="00305443">
        <w:rPr>
          <w:rStyle w:val="Emphasis"/>
          <w:rFonts w:ascii="Times New Roman" w:hAnsi="Times New Roman" w:cs="Times New Roman"/>
          <w:i w:val="0"/>
          <w:sz w:val="28"/>
          <w:szCs w:val="28"/>
          <w:lang w:val="en-US"/>
        </w:rPr>
        <w:t xml:space="preserve"> SironAML identifies suspicious transactions during monitoring;</w:t>
      </w:r>
    </w:p>
    <w:p w14:paraId="134DFA4F"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lastRenderedPageBreak/>
        <w:t>- Other AML</w:t>
      </w:r>
      <w:r w:rsidR="0026495C">
        <w:rPr>
          <w:rStyle w:val="Emphasis"/>
          <w:rFonts w:ascii="Times New Roman" w:hAnsi="Times New Roman" w:cs="Times New Roman"/>
          <w:i w:val="0"/>
          <w:sz w:val="28"/>
          <w:szCs w:val="28"/>
          <w:lang w:val="en-US"/>
        </w:rPr>
        <w:t xml:space="preserve"> are </w:t>
      </w:r>
      <w:r w:rsidRPr="00305443">
        <w:rPr>
          <w:rStyle w:val="Emphasis"/>
          <w:rFonts w:ascii="Times New Roman" w:hAnsi="Times New Roman" w:cs="Times New Roman"/>
          <w:i w:val="0"/>
          <w:sz w:val="28"/>
          <w:szCs w:val="28"/>
          <w:lang w:val="en-US"/>
        </w:rPr>
        <w:t>systems, including scenarios on threshold and scenarios for suspicious transactions.</w:t>
      </w:r>
    </w:p>
    <w:p w14:paraId="318856B5"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However, one respondent indicated that it is not possible to identify foreign politically exposed persons in the Bank's automated system (figure 2).</w:t>
      </w:r>
    </w:p>
    <w:p w14:paraId="56732576"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p>
    <w:p w14:paraId="1A70F331" w14:textId="77777777" w:rsidR="00BC72B3" w:rsidRPr="00305443" w:rsidRDefault="00BC72B3" w:rsidP="00BC72B3">
      <w:pPr>
        <w:spacing w:after="0" w:line="360" w:lineRule="auto"/>
        <w:ind w:firstLine="454"/>
        <w:jc w:val="center"/>
        <w:rPr>
          <w:rStyle w:val="Emphasis"/>
          <w:rFonts w:ascii="Times New Roman" w:hAnsi="Times New Roman" w:cs="Times New Roman"/>
          <w:i w:val="0"/>
          <w:sz w:val="28"/>
          <w:szCs w:val="28"/>
          <w:lang w:val="en-US"/>
        </w:rPr>
      </w:pPr>
      <w:r w:rsidRPr="00305443">
        <w:rPr>
          <w:rFonts w:ascii="Times New Roman" w:hAnsi="Times New Roman" w:cs="Times New Roman"/>
          <w:noProof/>
          <w:sz w:val="28"/>
          <w:szCs w:val="28"/>
          <w:shd w:val="clear" w:color="auto" w:fill="FFFFFF"/>
          <w:lang w:val="en-US"/>
        </w:rPr>
        <w:drawing>
          <wp:inline distT="0" distB="0" distL="0" distR="0" wp14:anchorId="2FD0F867" wp14:editId="7ED661DA">
            <wp:extent cx="4443623"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2071" cy="2099484"/>
                    </a:xfrm>
                    <a:prstGeom prst="rect">
                      <a:avLst/>
                    </a:prstGeom>
                    <a:noFill/>
                    <a:ln>
                      <a:noFill/>
                    </a:ln>
                  </pic:spPr>
                </pic:pic>
              </a:graphicData>
            </a:graphic>
          </wp:inline>
        </w:drawing>
      </w:r>
    </w:p>
    <w:p w14:paraId="5737A783" w14:textId="6A5901C6"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bookmarkStart w:id="0" w:name="_GoBack"/>
      <w:bookmarkEnd w:id="0"/>
      <w:r w:rsidRPr="00305443">
        <w:rPr>
          <w:rStyle w:val="Emphasis"/>
          <w:rFonts w:ascii="Times New Roman" w:hAnsi="Times New Roman" w:cs="Times New Roman"/>
          <w:i w:val="0"/>
          <w:sz w:val="28"/>
          <w:szCs w:val="28"/>
          <w:lang w:val="en-US"/>
        </w:rPr>
        <w:t>and financing of terrorism</w:t>
      </w:r>
    </w:p>
    <w:p w14:paraId="0D22315F"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5. W-8BEN-E</w:t>
      </w:r>
      <w:r w:rsidR="0026495C">
        <w:rPr>
          <w:rStyle w:val="Emphasis"/>
          <w:rFonts w:ascii="Times New Roman" w:hAnsi="Times New Roman" w:cs="Times New Roman"/>
          <w:i w:val="0"/>
          <w:sz w:val="28"/>
          <w:szCs w:val="28"/>
          <w:lang w:val="en-US"/>
        </w:rPr>
        <w:t xml:space="preserve"> is a</w:t>
      </w:r>
      <w:r w:rsidRPr="00305443">
        <w:rPr>
          <w:rStyle w:val="Emphasis"/>
          <w:rFonts w:ascii="Times New Roman" w:hAnsi="Times New Roman" w:cs="Times New Roman"/>
          <w:i w:val="0"/>
          <w:sz w:val="28"/>
          <w:szCs w:val="28"/>
          <w:lang w:val="en-US"/>
        </w:rPr>
        <w:t xml:space="preserve"> certificate on the status of beneficial owner for the US Internal Revenue Service and accountable organizations.</w:t>
      </w:r>
    </w:p>
    <w:p w14:paraId="73CCC8C0"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Concerning violations of AML/CFT legislation by banks, the National Bank of the Republic of Kazakhstan </w:t>
      </w:r>
      <w:r w:rsidR="00D934D4">
        <w:rPr>
          <w:rStyle w:val="Emphasis"/>
          <w:rFonts w:ascii="Times New Roman" w:hAnsi="Times New Roman" w:cs="Times New Roman"/>
          <w:i w:val="0"/>
          <w:sz w:val="28"/>
          <w:szCs w:val="28"/>
          <w:lang w:val="en-US"/>
        </w:rPr>
        <w:t>carried out</w:t>
      </w:r>
      <w:r w:rsidRPr="00305443">
        <w:rPr>
          <w:rStyle w:val="Emphasis"/>
          <w:rFonts w:ascii="Times New Roman" w:hAnsi="Times New Roman" w:cs="Times New Roman"/>
          <w:i w:val="0"/>
          <w:sz w:val="28"/>
          <w:szCs w:val="28"/>
          <w:lang w:val="en-US"/>
        </w:rPr>
        <w:t xml:space="preserve"> 20 inspections and 10 documentary checks of regulated banks in 2016. These checks were carried out for compliance with the requirements of AML/CFT legislation.</w:t>
      </w:r>
    </w:p>
    <w:p w14:paraId="123E5348"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According to the results of inspections of banks, the total size of administrative fines imposed to</w:t>
      </w:r>
      <w:r w:rsidR="00A2317D">
        <w:rPr>
          <w:rStyle w:val="Emphasis"/>
          <w:rFonts w:ascii="Times New Roman" w:hAnsi="Times New Roman" w:cs="Times New Roman"/>
          <w:i w:val="0"/>
          <w:sz w:val="28"/>
          <w:szCs w:val="28"/>
          <w:lang w:val="en-US"/>
        </w:rPr>
        <w:t>,</w:t>
      </w:r>
      <w:r w:rsidRPr="00305443">
        <w:rPr>
          <w:rStyle w:val="Emphasis"/>
          <w:rFonts w:ascii="Times New Roman" w:hAnsi="Times New Roman" w:cs="Times New Roman"/>
          <w:i w:val="0"/>
          <w:sz w:val="28"/>
          <w:szCs w:val="28"/>
          <w:lang w:val="en-US"/>
        </w:rPr>
        <w:t xml:space="preserve"> reach</w:t>
      </w:r>
      <w:r w:rsidR="00A2317D">
        <w:rPr>
          <w:rStyle w:val="Emphasis"/>
          <w:rFonts w:ascii="Times New Roman" w:hAnsi="Times New Roman" w:cs="Times New Roman"/>
          <w:i w:val="0"/>
          <w:sz w:val="28"/>
          <w:szCs w:val="28"/>
          <w:lang w:val="en-US"/>
        </w:rPr>
        <w:t>ed</w:t>
      </w:r>
      <w:r w:rsidRPr="00305443">
        <w:rPr>
          <w:rStyle w:val="Emphasis"/>
          <w:rFonts w:ascii="Times New Roman" w:hAnsi="Times New Roman" w:cs="Times New Roman"/>
          <w:i w:val="0"/>
          <w:sz w:val="28"/>
          <w:szCs w:val="28"/>
          <w:lang w:val="en-US"/>
        </w:rPr>
        <w:t xml:space="preserve"> 148.4 million tenge, including 89.7 million tenge for 227 administrative cases submitted to the courts (for violations of the Law of the Republic of Kazakhstan "On combating legalization (laundering) of proceeds obtained in a criminal way and financing of terrorism"). [10] </w:t>
      </w:r>
    </w:p>
    <w:p w14:paraId="7C0DA96D"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In addition, for the first quarter of 2017 the National Bank of the Republic of Kazakhstan carried out inspections in respect </w:t>
      </w:r>
      <w:r w:rsidR="00A2317D">
        <w:rPr>
          <w:rStyle w:val="Emphasis"/>
          <w:rFonts w:ascii="Times New Roman" w:hAnsi="Times New Roman" w:cs="Times New Roman"/>
          <w:i w:val="0"/>
          <w:sz w:val="28"/>
          <w:szCs w:val="28"/>
          <w:lang w:val="en-US"/>
        </w:rPr>
        <w:t>to</w:t>
      </w:r>
      <w:r w:rsidRPr="00305443">
        <w:rPr>
          <w:rStyle w:val="Emphasis"/>
          <w:rFonts w:ascii="Times New Roman" w:hAnsi="Times New Roman" w:cs="Times New Roman"/>
          <w:i w:val="0"/>
          <w:sz w:val="28"/>
          <w:szCs w:val="28"/>
          <w:lang w:val="en-US"/>
        </w:rPr>
        <w:t xml:space="preserve"> </w:t>
      </w:r>
      <w:r w:rsidR="0026495C" w:rsidRPr="00305443">
        <w:rPr>
          <w:rStyle w:val="Emphasis"/>
          <w:rFonts w:ascii="Times New Roman" w:hAnsi="Times New Roman" w:cs="Times New Roman"/>
          <w:i w:val="0"/>
          <w:sz w:val="28"/>
          <w:szCs w:val="28"/>
          <w:lang w:val="en-US"/>
        </w:rPr>
        <w:t>six</w:t>
      </w:r>
      <w:r w:rsidRPr="00305443">
        <w:rPr>
          <w:rStyle w:val="Emphasis"/>
          <w:rFonts w:ascii="Times New Roman" w:hAnsi="Times New Roman" w:cs="Times New Roman"/>
          <w:i w:val="0"/>
          <w:sz w:val="28"/>
          <w:szCs w:val="28"/>
          <w:lang w:val="en-US"/>
        </w:rPr>
        <w:t xml:space="preserve"> regulated banks, including </w:t>
      </w:r>
      <w:r w:rsidR="0026495C" w:rsidRPr="00305443">
        <w:rPr>
          <w:rStyle w:val="Emphasis"/>
          <w:rFonts w:ascii="Times New Roman" w:hAnsi="Times New Roman" w:cs="Times New Roman"/>
          <w:i w:val="0"/>
          <w:sz w:val="28"/>
          <w:szCs w:val="28"/>
          <w:lang w:val="en-US"/>
        </w:rPr>
        <w:t>four</w:t>
      </w:r>
      <w:r w:rsidRPr="00305443">
        <w:rPr>
          <w:rStyle w:val="Emphasis"/>
          <w:rFonts w:ascii="Times New Roman" w:hAnsi="Times New Roman" w:cs="Times New Roman"/>
          <w:i w:val="0"/>
          <w:sz w:val="28"/>
          <w:szCs w:val="28"/>
          <w:lang w:val="en-US"/>
        </w:rPr>
        <w:t xml:space="preserve"> studied banks: Kazkommertsbank, ForteBank, ATF Bank, Halyk Bank of Kazakhstan. As a result, AML/CFT violations were detected and retaliation was applied to two banks (Table 4). </w:t>
      </w:r>
    </w:p>
    <w:p w14:paraId="3329A43F" w14:textId="77777777" w:rsidR="00BC72B3" w:rsidRPr="00305443" w:rsidRDefault="00BC72B3" w:rsidP="00BC72B3">
      <w:pPr>
        <w:spacing w:after="0" w:line="360" w:lineRule="auto"/>
        <w:ind w:firstLine="454"/>
        <w:jc w:val="center"/>
        <w:rPr>
          <w:rStyle w:val="Emphasis"/>
          <w:rFonts w:ascii="Times New Roman" w:hAnsi="Times New Roman" w:cs="Times New Roman"/>
          <w:i w:val="0"/>
          <w:sz w:val="20"/>
          <w:szCs w:val="20"/>
          <w:lang w:val="en-US"/>
        </w:rPr>
      </w:pPr>
      <w:r w:rsidRPr="00305443">
        <w:rPr>
          <w:rStyle w:val="Emphasis"/>
          <w:rFonts w:ascii="Times New Roman" w:hAnsi="Times New Roman" w:cs="Times New Roman"/>
          <w:i w:val="0"/>
          <w:sz w:val="20"/>
          <w:szCs w:val="20"/>
          <w:lang w:val="en-US"/>
        </w:rPr>
        <w:t>Table 4 — Results of inspections on AML/CFT for the first quarter of 2017</w:t>
      </w:r>
    </w:p>
    <w:tbl>
      <w:tblPr>
        <w:tblStyle w:val="TableGrid"/>
        <w:tblW w:w="9639" w:type="dxa"/>
        <w:tblInd w:w="108" w:type="dxa"/>
        <w:tblLayout w:type="fixed"/>
        <w:tblLook w:val="04A0" w:firstRow="1" w:lastRow="0" w:firstColumn="1" w:lastColumn="0" w:noHBand="0" w:noVBand="1"/>
      </w:tblPr>
      <w:tblGrid>
        <w:gridCol w:w="1560"/>
        <w:gridCol w:w="1701"/>
        <w:gridCol w:w="1417"/>
        <w:gridCol w:w="4961"/>
      </w:tblGrid>
      <w:tr w:rsidR="00BC72B3" w:rsidRPr="0021351E" w14:paraId="54946D96" w14:textId="77777777" w:rsidTr="000E0A15">
        <w:trPr>
          <w:trHeight w:val="1258"/>
        </w:trPr>
        <w:tc>
          <w:tcPr>
            <w:tcW w:w="1560" w:type="dxa"/>
          </w:tcPr>
          <w:p w14:paraId="5F8EE338" w14:textId="77777777" w:rsidR="00BC72B3" w:rsidRPr="00305443" w:rsidRDefault="00BC72B3" w:rsidP="000E0A15">
            <w:pPr>
              <w:spacing w:line="360" w:lineRule="auto"/>
              <w:jc w:val="center"/>
              <w:rPr>
                <w:rFonts w:ascii="Times New Roman" w:hAnsi="Times New Roman" w:cs="Times New Roman"/>
                <w:sz w:val="20"/>
                <w:szCs w:val="20"/>
              </w:rPr>
            </w:pPr>
            <w:r w:rsidRPr="00305443">
              <w:rPr>
                <w:rFonts w:ascii="Times New Roman" w:hAnsi="Times New Roman" w:cs="Times New Roman"/>
                <w:sz w:val="20"/>
                <w:szCs w:val="20"/>
              </w:rPr>
              <w:lastRenderedPageBreak/>
              <w:t>Bank</w:t>
            </w:r>
          </w:p>
        </w:tc>
        <w:tc>
          <w:tcPr>
            <w:tcW w:w="1701" w:type="dxa"/>
          </w:tcPr>
          <w:p w14:paraId="07AFCF7D" w14:textId="77777777" w:rsidR="00BC72B3" w:rsidRPr="00305443" w:rsidRDefault="00BC72B3" w:rsidP="000E0A15">
            <w:pPr>
              <w:spacing w:line="360" w:lineRule="auto"/>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Number of inspections for the I quarter of 2017</w:t>
            </w:r>
          </w:p>
        </w:tc>
        <w:tc>
          <w:tcPr>
            <w:tcW w:w="1417" w:type="dxa"/>
          </w:tcPr>
          <w:p w14:paraId="7EB79059" w14:textId="77777777" w:rsidR="00BC72B3" w:rsidRPr="00D2063B" w:rsidRDefault="00D2063B" w:rsidP="000E0A15">
            <w:pPr>
              <w:spacing w:line="360" w:lineRule="auto"/>
              <w:jc w:val="center"/>
              <w:rPr>
                <w:rFonts w:ascii="Times New Roman" w:hAnsi="Times New Roman" w:cs="Times New Roman"/>
                <w:sz w:val="20"/>
                <w:szCs w:val="20"/>
                <w:lang w:val="en-GB"/>
              </w:rPr>
            </w:pPr>
            <w:r>
              <w:rPr>
                <w:rFonts w:ascii="Times New Roman" w:hAnsi="Times New Roman" w:cs="Times New Roman"/>
                <w:sz w:val="20"/>
                <w:szCs w:val="20"/>
                <w:lang w:val="en-US"/>
              </w:rPr>
              <w:t xml:space="preserve">Administrative </w:t>
            </w:r>
            <w:r w:rsidR="00BC72B3" w:rsidRPr="00D2063B">
              <w:rPr>
                <w:rFonts w:ascii="Times New Roman" w:hAnsi="Times New Roman" w:cs="Times New Roman"/>
                <w:sz w:val="20"/>
                <w:szCs w:val="20"/>
                <w:lang w:val="en-GB"/>
              </w:rPr>
              <w:t>fine</w:t>
            </w:r>
          </w:p>
          <w:p w14:paraId="6329B166" w14:textId="77777777" w:rsidR="00BC72B3" w:rsidRPr="00D2063B" w:rsidRDefault="00BC72B3" w:rsidP="000E0A15">
            <w:pPr>
              <w:spacing w:line="360" w:lineRule="auto"/>
              <w:jc w:val="center"/>
              <w:rPr>
                <w:rFonts w:ascii="Times New Roman" w:hAnsi="Times New Roman" w:cs="Times New Roman"/>
                <w:sz w:val="20"/>
                <w:szCs w:val="20"/>
                <w:lang w:val="en-GB"/>
              </w:rPr>
            </w:pPr>
            <w:r w:rsidRPr="00D2063B">
              <w:rPr>
                <w:rFonts w:ascii="Times New Roman" w:hAnsi="Times New Roman" w:cs="Times New Roman"/>
                <w:sz w:val="20"/>
                <w:szCs w:val="20"/>
                <w:lang w:val="en-GB"/>
              </w:rPr>
              <w:t>(number, amount)</w:t>
            </w:r>
          </w:p>
        </w:tc>
        <w:tc>
          <w:tcPr>
            <w:tcW w:w="4961" w:type="dxa"/>
          </w:tcPr>
          <w:p w14:paraId="518774B0" w14:textId="77777777" w:rsidR="00BC72B3" w:rsidRPr="00305443" w:rsidRDefault="00BC72B3" w:rsidP="000E0A15">
            <w:pPr>
              <w:spacing w:line="360" w:lineRule="auto"/>
              <w:ind w:firstLine="454"/>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Brief description of the revealed violations (indicating the violated norms of the AML / CFT Law, subordinate acts)</w:t>
            </w:r>
          </w:p>
        </w:tc>
      </w:tr>
      <w:tr w:rsidR="00BC72B3" w:rsidRPr="0021351E" w14:paraId="163A0DEC" w14:textId="77777777" w:rsidTr="000E0A15">
        <w:tc>
          <w:tcPr>
            <w:tcW w:w="1560" w:type="dxa"/>
            <w:vAlign w:val="center"/>
          </w:tcPr>
          <w:p w14:paraId="5D3CF1AD" w14:textId="77777777" w:rsidR="00BC72B3" w:rsidRPr="00305443" w:rsidRDefault="00BC72B3" w:rsidP="000E0A15">
            <w:pPr>
              <w:spacing w:line="360" w:lineRule="auto"/>
              <w:jc w:val="center"/>
              <w:rPr>
                <w:rFonts w:ascii="Times New Roman" w:hAnsi="Times New Roman" w:cs="Times New Roman"/>
                <w:b/>
                <w:i/>
                <w:sz w:val="20"/>
                <w:szCs w:val="20"/>
              </w:rPr>
            </w:pPr>
            <w:r w:rsidRPr="00305443">
              <w:rPr>
                <w:rFonts w:ascii="Times New Roman" w:hAnsi="Times New Roman" w:cs="Times New Roman"/>
                <w:b/>
                <w:i/>
                <w:sz w:val="20"/>
                <w:szCs w:val="20"/>
              </w:rPr>
              <w:t>Bank A</w:t>
            </w:r>
          </w:p>
        </w:tc>
        <w:tc>
          <w:tcPr>
            <w:tcW w:w="1701" w:type="dxa"/>
            <w:vAlign w:val="center"/>
          </w:tcPr>
          <w:p w14:paraId="0610600E" w14:textId="77777777" w:rsidR="00BC72B3" w:rsidRPr="00305443" w:rsidRDefault="00BC72B3" w:rsidP="000E0A15">
            <w:pPr>
              <w:spacing w:line="360" w:lineRule="auto"/>
              <w:jc w:val="center"/>
              <w:rPr>
                <w:rFonts w:ascii="Times New Roman" w:hAnsi="Times New Roman" w:cs="Times New Roman"/>
                <w:sz w:val="20"/>
                <w:szCs w:val="20"/>
              </w:rPr>
            </w:pPr>
            <w:r w:rsidRPr="00305443">
              <w:rPr>
                <w:rFonts w:ascii="Times New Roman" w:hAnsi="Times New Roman" w:cs="Times New Roman"/>
                <w:sz w:val="20"/>
                <w:szCs w:val="20"/>
              </w:rPr>
              <w:t>06.02.2017</w:t>
            </w:r>
          </w:p>
        </w:tc>
        <w:tc>
          <w:tcPr>
            <w:tcW w:w="1417" w:type="dxa"/>
          </w:tcPr>
          <w:p w14:paraId="3D41A345" w14:textId="77777777" w:rsidR="00BC72B3" w:rsidRPr="00305443" w:rsidRDefault="00BC72B3" w:rsidP="000E0A15">
            <w:pPr>
              <w:spacing w:line="360" w:lineRule="auto"/>
              <w:jc w:val="center"/>
              <w:rPr>
                <w:rFonts w:ascii="Times New Roman" w:hAnsi="Times New Roman" w:cs="Times New Roman"/>
                <w:sz w:val="20"/>
                <w:szCs w:val="20"/>
                <w:lang w:val="en-US"/>
              </w:rPr>
            </w:pPr>
          </w:p>
          <w:p w14:paraId="1A217206" w14:textId="77777777" w:rsidR="00BC72B3" w:rsidRPr="00305443" w:rsidRDefault="00BC72B3" w:rsidP="000E0A15">
            <w:pPr>
              <w:spacing w:line="360" w:lineRule="auto"/>
              <w:jc w:val="center"/>
              <w:rPr>
                <w:rFonts w:ascii="Times New Roman" w:hAnsi="Times New Roman" w:cs="Times New Roman"/>
                <w:sz w:val="20"/>
                <w:szCs w:val="20"/>
                <w:lang w:val="en-US"/>
              </w:rPr>
            </w:pPr>
            <w:r w:rsidRPr="00305443">
              <w:rPr>
                <w:rFonts w:ascii="Times New Roman" w:hAnsi="Times New Roman" w:cs="Times New Roman"/>
                <w:sz w:val="20"/>
                <w:szCs w:val="20"/>
              </w:rPr>
              <w:t>4 protocols</w:t>
            </w:r>
          </w:p>
          <w:p w14:paraId="10200F7F" w14:textId="77777777" w:rsidR="00BC72B3" w:rsidRPr="00305443" w:rsidRDefault="00BC72B3" w:rsidP="000E0A15">
            <w:pPr>
              <w:spacing w:line="360" w:lineRule="auto"/>
              <w:jc w:val="center"/>
              <w:rPr>
                <w:rFonts w:ascii="Times New Roman" w:hAnsi="Times New Roman" w:cs="Times New Roman"/>
                <w:sz w:val="20"/>
                <w:szCs w:val="20"/>
              </w:rPr>
            </w:pPr>
            <w:r w:rsidRPr="00305443">
              <w:rPr>
                <w:rFonts w:ascii="Times New Roman" w:hAnsi="Times New Roman" w:cs="Times New Roman"/>
                <w:sz w:val="20"/>
                <w:szCs w:val="20"/>
              </w:rPr>
              <w:t>(12 726 000 tenge)</w:t>
            </w:r>
          </w:p>
        </w:tc>
        <w:tc>
          <w:tcPr>
            <w:tcW w:w="4961" w:type="dxa"/>
          </w:tcPr>
          <w:p w14:paraId="38FF4145" w14:textId="77777777" w:rsidR="00BC72B3" w:rsidRPr="00305443" w:rsidRDefault="00BC72B3" w:rsidP="000E0A15">
            <w:pPr>
              <w:spacing w:line="360" w:lineRule="auto"/>
              <w:ind w:firstLine="454"/>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violation of the law of the Republic of Kazakhstan on AML/CFT regarding the suspension and refusal to conduct operations subject to financial monitoring and providing information on transactions subject to financial monitoring</w:t>
            </w:r>
          </w:p>
          <w:p w14:paraId="3377CE82" w14:textId="77777777" w:rsidR="00BC72B3" w:rsidRPr="00305443" w:rsidRDefault="00BC72B3" w:rsidP="000E0A15">
            <w:pPr>
              <w:spacing w:line="360" w:lineRule="auto"/>
              <w:ind w:firstLine="454"/>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(Part 1 of Article 214 of the Code of Administrative Offenses)</w:t>
            </w:r>
          </w:p>
        </w:tc>
      </w:tr>
      <w:tr w:rsidR="00BC72B3" w:rsidRPr="0021351E" w14:paraId="2F3B057F" w14:textId="77777777" w:rsidTr="000E0A15">
        <w:tc>
          <w:tcPr>
            <w:tcW w:w="1560" w:type="dxa"/>
          </w:tcPr>
          <w:p w14:paraId="4C34CF28" w14:textId="77777777" w:rsidR="00BC72B3" w:rsidRPr="00305443" w:rsidRDefault="00BC72B3" w:rsidP="000E0A15">
            <w:pPr>
              <w:jc w:val="center"/>
              <w:rPr>
                <w:rFonts w:ascii="Times New Roman" w:hAnsi="Times New Roman" w:cs="Times New Roman"/>
                <w:b/>
                <w:i/>
                <w:sz w:val="20"/>
                <w:szCs w:val="20"/>
                <w:lang w:val="en-US"/>
              </w:rPr>
            </w:pPr>
            <w:r w:rsidRPr="00305443">
              <w:rPr>
                <w:rFonts w:ascii="Times New Roman" w:hAnsi="Times New Roman" w:cs="Times New Roman"/>
                <w:b/>
                <w:i/>
                <w:sz w:val="20"/>
                <w:szCs w:val="20"/>
                <w:lang w:val="en-US"/>
              </w:rPr>
              <w:t>Bank B</w:t>
            </w:r>
          </w:p>
        </w:tc>
        <w:tc>
          <w:tcPr>
            <w:tcW w:w="1701" w:type="dxa"/>
          </w:tcPr>
          <w:p w14:paraId="20FC02C1" w14:textId="77777777" w:rsidR="00BC72B3" w:rsidRPr="00305443" w:rsidRDefault="00BC72B3" w:rsidP="000E0A15">
            <w:pPr>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remote supervision</w:t>
            </w:r>
          </w:p>
        </w:tc>
        <w:tc>
          <w:tcPr>
            <w:tcW w:w="1417" w:type="dxa"/>
          </w:tcPr>
          <w:p w14:paraId="7F027C0D" w14:textId="77777777" w:rsidR="00BC72B3" w:rsidRPr="00305443" w:rsidRDefault="00BC72B3" w:rsidP="000E0A15">
            <w:pPr>
              <w:spacing w:line="360" w:lineRule="auto"/>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2 protocols</w:t>
            </w:r>
          </w:p>
          <w:p w14:paraId="1D5E0C0A" w14:textId="77777777" w:rsidR="00BC72B3" w:rsidRPr="00305443" w:rsidRDefault="00BC72B3" w:rsidP="000E0A15">
            <w:pPr>
              <w:spacing w:line="360" w:lineRule="auto"/>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 xml:space="preserve">(sent for consideration in the </w:t>
            </w:r>
            <w:r w:rsidRPr="00305443">
              <w:rPr>
                <w:rFonts w:ascii="Times New Roman" w:hAnsi="Times New Roman" w:cs="Times New Roman"/>
                <w:sz w:val="20"/>
                <w:szCs w:val="20"/>
              </w:rPr>
              <w:t>СМАС</w:t>
            </w:r>
          </w:p>
          <w:p w14:paraId="3C00A54A" w14:textId="77777777" w:rsidR="00BC72B3" w:rsidRPr="00305443" w:rsidRDefault="00BC72B3" w:rsidP="000E0A15">
            <w:pPr>
              <w:spacing w:line="360" w:lineRule="auto"/>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Almaty)</w:t>
            </w:r>
          </w:p>
        </w:tc>
        <w:tc>
          <w:tcPr>
            <w:tcW w:w="4961" w:type="dxa"/>
          </w:tcPr>
          <w:p w14:paraId="7FD1D08F" w14:textId="77777777" w:rsidR="00BC72B3" w:rsidRPr="00305443" w:rsidRDefault="00BC72B3" w:rsidP="000E0A15">
            <w:pPr>
              <w:spacing w:line="360" w:lineRule="auto"/>
              <w:ind w:firstLine="454"/>
              <w:jc w:val="center"/>
              <w:rPr>
                <w:rFonts w:ascii="Times New Roman" w:hAnsi="Times New Roman" w:cs="Times New Roman"/>
                <w:sz w:val="20"/>
                <w:szCs w:val="20"/>
                <w:lang w:val="en-US"/>
              </w:rPr>
            </w:pPr>
            <w:r w:rsidRPr="00305443">
              <w:rPr>
                <w:rFonts w:ascii="Times New Roman" w:hAnsi="Times New Roman" w:cs="Times New Roman"/>
                <w:sz w:val="20"/>
                <w:szCs w:val="20"/>
                <w:lang w:val="en-US"/>
              </w:rPr>
              <w:t>based on the results of a documentary audit conducted within the framework of execution of a particular resolution, the bank's actions revealed an offense, the essence of which is the bank's failure to comply with the Regulations on Internal Control Rules for AML / CFT purposes approved by the decision of the Bank's Board of Directors</w:t>
            </w:r>
          </w:p>
        </w:tc>
      </w:tr>
    </w:tbl>
    <w:p w14:paraId="064EA33F" w14:textId="77777777" w:rsidR="00BC72B3" w:rsidRPr="00CE3A06" w:rsidRDefault="00BC72B3" w:rsidP="00BC72B3">
      <w:pPr>
        <w:spacing w:after="0" w:line="360" w:lineRule="auto"/>
        <w:jc w:val="both"/>
        <w:rPr>
          <w:rStyle w:val="Emphasis"/>
          <w:rFonts w:ascii="Times New Roman" w:hAnsi="Times New Roman" w:cs="Times New Roman"/>
          <w:b/>
          <w:i w:val="0"/>
          <w:sz w:val="28"/>
          <w:szCs w:val="28"/>
          <w:lang w:val="en-US"/>
        </w:rPr>
      </w:pPr>
    </w:p>
    <w:p w14:paraId="11D94DA7" w14:textId="77777777" w:rsidR="00BC72B3" w:rsidRPr="000010A1" w:rsidRDefault="00BC72B3" w:rsidP="00BC72B3">
      <w:pPr>
        <w:spacing w:after="0" w:line="360" w:lineRule="auto"/>
        <w:ind w:right="-1"/>
        <w:jc w:val="both"/>
        <w:rPr>
          <w:rFonts w:ascii="Times New Roman" w:hAnsi="Times New Roman" w:cs="Times New Roman"/>
          <w:b/>
          <w:sz w:val="28"/>
          <w:szCs w:val="28"/>
          <w:lang w:val="en-US"/>
        </w:rPr>
      </w:pPr>
      <w:r w:rsidRPr="000010A1">
        <w:rPr>
          <w:rFonts w:ascii="Times New Roman" w:hAnsi="Times New Roman" w:cs="Times New Roman"/>
          <w:b/>
          <w:sz w:val="28"/>
          <w:szCs w:val="28"/>
          <w:lang w:val="en-US"/>
        </w:rPr>
        <w:t>Conclusion</w:t>
      </w:r>
    </w:p>
    <w:p w14:paraId="5884C81F" w14:textId="77777777" w:rsidR="00BC72B3" w:rsidRPr="0090149A" w:rsidRDefault="00BC72B3" w:rsidP="00BC72B3">
      <w:pPr>
        <w:spacing w:after="0" w:line="360" w:lineRule="auto"/>
        <w:jc w:val="both"/>
        <w:rPr>
          <w:rStyle w:val="Emphasis"/>
          <w:rFonts w:ascii="Times New Roman" w:hAnsi="Times New Roman" w:cs="Times New Roman"/>
          <w:b/>
          <w:i w:val="0"/>
          <w:sz w:val="28"/>
          <w:szCs w:val="28"/>
          <w:lang w:val="en-US"/>
        </w:rPr>
      </w:pPr>
      <w:r w:rsidRPr="00305443">
        <w:rPr>
          <w:rStyle w:val="Emphasis"/>
          <w:rFonts w:ascii="Times New Roman" w:hAnsi="Times New Roman" w:cs="Times New Roman"/>
          <w:i w:val="0"/>
          <w:sz w:val="28"/>
          <w:szCs w:val="28"/>
          <w:lang w:val="en-US"/>
        </w:rPr>
        <w:t>Based on the results of the study of financial regulations and the activities of the compliance service received from open sources on the website of the studied banks, as well as the results of the survey, the following conclusions can be drawn.</w:t>
      </w:r>
    </w:p>
    <w:p w14:paraId="78FE3FE6"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1. The results of the research showed that the positions of the researched banks in the field of AML/CFT are clearly defined in the </w:t>
      </w:r>
      <w:r w:rsidR="002E0D9C">
        <w:rPr>
          <w:rStyle w:val="Emphasis"/>
          <w:rFonts w:ascii="Times New Roman" w:hAnsi="Times New Roman" w:cs="Times New Roman"/>
          <w:i w:val="0"/>
          <w:sz w:val="28"/>
          <w:szCs w:val="28"/>
          <w:lang w:val="en-US"/>
        </w:rPr>
        <w:t>p</w:t>
      </w:r>
      <w:r w:rsidRPr="00305443">
        <w:rPr>
          <w:rStyle w:val="Emphasis"/>
          <w:rFonts w:ascii="Times New Roman" w:hAnsi="Times New Roman" w:cs="Times New Roman"/>
          <w:i w:val="0"/>
          <w:sz w:val="28"/>
          <w:szCs w:val="28"/>
          <w:lang w:val="en-US"/>
        </w:rPr>
        <w:t>olicy and internal AML/CFT documents. All banks have these documents on their official websites.</w:t>
      </w:r>
    </w:p>
    <w:p w14:paraId="4CE6574F"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2. Appointed by the Board of Directors of the bank, the Compliance Controller has </w:t>
      </w:r>
      <w:r w:rsidR="008E4D5F">
        <w:rPr>
          <w:rStyle w:val="Emphasis"/>
          <w:rFonts w:ascii="Times New Roman" w:hAnsi="Times New Roman" w:cs="Times New Roman"/>
          <w:i w:val="0"/>
          <w:sz w:val="28"/>
          <w:szCs w:val="28"/>
          <w:lang w:val="en-US"/>
        </w:rPr>
        <w:t>all</w:t>
      </w:r>
      <w:r w:rsidRPr="00305443">
        <w:rPr>
          <w:rStyle w:val="Emphasis"/>
          <w:rFonts w:ascii="Times New Roman" w:hAnsi="Times New Roman" w:cs="Times New Roman"/>
          <w:i w:val="0"/>
          <w:sz w:val="28"/>
          <w:szCs w:val="28"/>
          <w:lang w:val="en-US"/>
        </w:rPr>
        <w:t xml:space="preserve"> necessary qualifications and experience to implement </w:t>
      </w:r>
      <w:r w:rsidR="008E4D5F" w:rsidRPr="00305443">
        <w:rPr>
          <w:rStyle w:val="Emphasis"/>
          <w:rFonts w:ascii="Times New Roman" w:hAnsi="Times New Roman" w:cs="Times New Roman"/>
          <w:i w:val="0"/>
          <w:sz w:val="28"/>
          <w:szCs w:val="28"/>
          <w:lang w:val="en-US"/>
        </w:rPr>
        <w:t xml:space="preserve">properly </w:t>
      </w:r>
      <w:r w:rsidRPr="00305443">
        <w:rPr>
          <w:rStyle w:val="Emphasis"/>
          <w:rFonts w:ascii="Times New Roman" w:hAnsi="Times New Roman" w:cs="Times New Roman"/>
          <w:i w:val="0"/>
          <w:sz w:val="28"/>
          <w:szCs w:val="28"/>
          <w:lang w:val="en-US"/>
        </w:rPr>
        <w:t>the bank's internal rules and procedures.</w:t>
      </w:r>
    </w:p>
    <w:p w14:paraId="3BB05C2C"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3. At the same time, 66.7% of respondents noted that the number of employees working in the compliance service and responsible for the implementation of the AML/CFT </w:t>
      </w:r>
      <w:r w:rsidR="008E4D5F">
        <w:rPr>
          <w:rStyle w:val="Emphasis"/>
          <w:rFonts w:ascii="Times New Roman" w:hAnsi="Times New Roman" w:cs="Times New Roman"/>
          <w:i w:val="0"/>
          <w:sz w:val="28"/>
          <w:szCs w:val="28"/>
          <w:lang w:val="en-US"/>
        </w:rPr>
        <w:t>p</w:t>
      </w:r>
      <w:r w:rsidRPr="00305443">
        <w:rPr>
          <w:rStyle w:val="Emphasis"/>
          <w:rFonts w:ascii="Times New Roman" w:hAnsi="Times New Roman" w:cs="Times New Roman"/>
          <w:i w:val="0"/>
          <w:sz w:val="28"/>
          <w:szCs w:val="28"/>
          <w:lang w:val="en-US"/>
        </w:rPr>
        <w:t xml:space="preserve">olicy is currently insufficient. This position is confirmed by the analysis of the ratio of the number of banks’ branches and employees. The main reasons for this </w:t>
      </w:r>
      <w:r w:rsidRPr="00305443">
        <w:rPr>
          <w:rStyle w:val="Emphasis"/>
          <w:rFonts w:ascii="Times New Roman" w:hAnsi="Times New Roman" w:cs="Times New Roman"/>
          <w:i w:val="0"/>
          <w:sz w:val="28"/>
          <w:szCs w:val="28"/>
          <w:lang w:val="en-US"/>
        </w:rPr>
        <w:lastRenderedPageBreak/>
        <w:t xml:space="preserve">phenomenon is a large volume of transactions and reporting. In turn, this defect can be negatively </w:t>
      </w:r>
      <w:r w:rsidR="00D9487E">
        <w:rPr>
          <w:rStyle w:val="Emphasis"/>
          <w:rFonts w:ascii="Times New Roman" w:hAnsi="Times New Roman" w:cs="Times New Roman"/>
          <w:i w:val="0"/>
          <w:sz w:val="28"/>
          <w:szCs w:val="28"/>
          <w:lang w:val="en-US"/>
        </w:rPr>
        <w:t>affect</w:t>
      </w:r>
      <w:r w:rsidRPr="00305443">
        <w:rPr>
          <w:rStyle w:val="Emphasis"/>
          <w:rFonts w:ascii="Times New Roman" w:hAnsi="Times New Roman" w:cs="Times New Roman"/>
          <w:i w:val="0"/>
          <w:sz w:val="28"/>
          <w:szCs w:val="28"/>
          <w:lang w:val="en-US"/>
        </w:rPr>
        <w:t xml:space="preserve"> to the amount of sen</w:t>
      </w:r>
      <w:r w:rsidR="00D9487E">
        <w:rPr>
          <w:rStyle w:val="Emphasis"/>
          <w:rFonts w:ascii="Times New Roman" w:hAnsi="Times New Roman" w:cs="Times New Roman"/>
          <w:i w:val="0"/>
          <w:sz w:val="28"/>
          <w:szCs w:val="28"/>
          <w:lang w:val="en-US"/>
        </w:rPr>
        <w:t>t</w:t>
      </w:r>
      <w:r w:rsidRPr="00305443">
        <w:rPr>
          <w:rStyle w:val="Emphasis"/>
          <w:rFonts w:ascii="Times New Roman" w:hAnsi="Times New Roman" w:cs="Times New Roman"/>
          <w:i w:val="0"/>
          <w:sz w:val="28"/>
          <w:szCs w:val="28"/>
          <w:lang w:val="en-US"/>
        </w:rPr>
        <w:t xml:space="preserve"> messages about suspicious transactions to the Financial Intelligence Unit. In this connection, the researched regulated bank is recommended to consider the issue of increasing the staff of the compliance service.</w:t>
      </w:r>
    </w:p>
    <w:p w14:paraId="77CCE217"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4. Special software in automated systems allows timely and effectively identify and monitor customer’s transactions. However, 16.7% of respondents are encouraged to improve the automated information systems for effective performance of their duties by compliance officers.</w:t>
      </w:r>
    </w:p>
    <w:p w14:paraId="0A0A91F5"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5. There is a three-level system of training courses on AML/CFT in banks. Training is conducted on an annual basis for all employees of the bank.</w:t>
      </w:r>
    </w:p>
    <w:p w14:paraId="528E1262"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6. It is worth noting that there were no cases of dismissal and / or criminal prosecution of employees / management of the bank due to non-compliance with AML / CFT legislation in the studied banks. </w:t>
      </w:r>
    </w:p>
    <w:p w14:paraId="2F642427"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7. According to respondents, legal entities are the most vulnerable clients for money laundering and terrorist financing, and money transfers and operations that are carried out without personal contact indicate</w:t>
      </w:r>
      <w:r w:rsidR="00227BAC">
        <w:rPr>
          <w:rStyle w:val="Emphasis"/>
          <w:rFonts w:ascii="Times New Roman" w:hAnsi="Times New Roman" w:cs="Times New Roman"/>
          <w:i w:val="0"/>
          <w:sz w:val="28"/>
          <w:szCs w:val="28"/>
          <w:lang w:val="en-US"/>
        </w:rPr>
        <w:t>s</w:t>
      </w:r>
      <w:r w:rsidRPr="00305443">
        <w:rPr>
          <w:rStyle w:val="Emphasis"/>
          <w:rFonts w:ascii="Times New Roman" w:hAnsi="Times New Roman" w:cs="Times New Roman"/>
          <w:i w:val="0"/>
          <w:sz w:val="28"/>
          <w:szCs w:val="28"/>
          <w:lang w:val="en-US"/>
        </w:rPr>
        <w:t xml:space="preserve"> the most vulnerable bank services.</w:t>
      </w:r>
    </w:p>
    <w:p w14:paraId="2FCBAAE2"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8. Based on the results of inspections conducted by the National Bank of the Republic of Kazakhstan regarding compliance with the AML/CFT legislation requirements for banks in 2017, the retaliation was applied to the three studied banks. The total </w:t>
      </w:r>
      <w:proofErr w:type="gramStart"/>
      <w:r w:rsidRPr="00305443">
        <w:rPr>
          <w:rStyle w:val="Emphasis"/>
          <w:rFonts w:ascii="Times New Roman" w:hAnsi="Times New Roman" w:cs="Times New Roman"/>
          <w:i w:val="0"/>
          <w:sz w:val="28"/>
          <w:szCs w:val="28"/>
          <w:lang w:val="en-US"/>
        </w:rPr>
        <w:t>amount</w:t>
      </w:r>
      <w:proofErr w:type="gramEnd"/>
      <w:r w:rsidRPr="00305443">
        <w:rPr>
          <w:rStyle w:val="Emphasis"/>
          <w:rFonts w:ascii="Times New Roman" w:hAnsi="Times New Roman" w:cs="Times New Roman"/>
          <w:i w:val="0"/>
          <w:sz w:val="28"/>
          <w:szCs w:val="28"/>
          <w:lang w:val="en-US"/>
        </w:rPr>
        <w:t xml:space="preserve"> of administrative fines imposed was 13,107 million tenge, and one administrative case was submitted to courts for consideration.</w:t>
      </w:r>
    </w:p>
    <w:p w14:paraId="33677B37" w14:textId="77777777" w:rsidR="00BC72B3" w:rsidRDefault="00BC72B3" w:rsidP="00BC72B3">
      <w:pPr>
        <w:spacing w:after="0" w:line="360" w:lineRule="auto"/>
        <w:ind w:firstLine="454"/>
        <w:jc w:val="both"/>
        <w:rPr>
          <w:rStyle w:val="Emphasis"/>
          <w:rFonts w:ascii="Times New Roman" w:hAnsi="Times New Roman" w:cs="Times New Roman"/>
          <w:i w:val="0"/>
          <w:sz w:val="28"/>
          <w:szCs w:val="28"/>
          <w:lang w:val="en-US"/>
        </w:rPr>
      </w:pPr>
      <w:r w:rsidRPr="00305443">
        <w:rPr>
          <w:rStyle w:val="Emphasis"/>
          <w:rFonts w:ascii="Times New Roman" w:hAnsi="Times New Roman" w:cs="Times New Roman"/>
          <w:i w:val="0"/>
          <w:sz w:val="28"/>
          <w:szCs w:val="28"/>
          <w:lang w:val="en-US"/>
        </w:rPr>
        <w:t xml:space="preserve">9. Summarizing all the above, it is essential to note that for the present stage, compliance control in the banks of the Republic of Kazakhstan is in the process of active development. In this regard, special attention </w:t>
      </w:r>
      <w:r w:rsidR="004F7874">
        <w:rPr>
          <w:rStyle w:val="Emphasis"/>
          <w:rFonts w:ascii="Times New Roman" w:hAnsi="Times New Roman" w:cs="Times New Roman"/>
          <w:i w:val="0"/>
          <w:sz w:val="28"/>
          <w:szCs w:val="28"/>
          <w:lang w:val="en-US"/>
        </w:rPr>
        <w:t xml:space="preserve">is paid </w:t>
      </w:r>
      <w:r w:rsidRPr="00305443">
        <w:rPr>
          <w:rStyle w:val="Emphasis"/>
          <w:rFonts w:ascii="Times New Roman" w:hAnsi="Times New Roman" w:cs="Times New Roman"/>
          <w:i w:val="0"/>
          <w:sz w:val="28"/>
          <w:szCs w:val="28"/>
          <w:lang w:val="en-US"/>
        </w:rPr>
        <w:t xml:space="preserve">to the quality implementation of the AML/CFT </w:t>
      </w:r>
      <w:r w:rsidR="004F7874">
        <w:rPr>
          <w:rStyle w:val="Emphasis"/>
          <w:rFonts w:ascii="Times New Roman" w:hAnsi="Times New Roman" w:cs="Times New Roman"/>
          <w:i w:val="0"/>
          <w:sz w:val="28"/>
          <w:szCs w:val="28"/>
          <w:lang w:val="en-US"/>
        </w:rPr>
        <w:t>p</w:t>
      </w:r>
      <w:r w:rsidRPr="00305443">
        <w:rPr>
          <w:rStyle w:val="Emphasis"/>
          <w:rFonts w:ascii="Times New Roman" w:hAnsi="Times New Roman" w:cs="Times New Roman"/>
          <w:i w:val="0"/>
          <w:sz w:val="28"/>
          <w:szCs w:val="28"/>
          <w:lang w:val="en-US"/>
        </w:rPr>
        <w:t>olicies of regulated banks should be given.</w:t>
      </w:r>
    </w:p>
    <w:p w14:paraId="23EEC207" w14:textId="77777777" w:rsidR="00BC72B3" w:rsidRPr="000010A1" w:rsidRDefault="00BC72B3" w:rsidP="00BC72B3">
      <w:pPr>
        <w:spacing w:after="0" w:line="360" w:lineRule="auto"/>
        <w:ind w:right="-1"/>
        <w:jc w:val="both"/>
        <w:rPr>
          <w:rStyle w:val="Emphasis"/>
          <w:rFonts w:ascii="Times New Roman" w:hAnsi="Times New Roman" w:cs="Times New Roman"/>
          <w:i w:val="0"/>
          <w:iCs w:val="0"/>
          <w:sz w:val="28"/>
          <w:szCs w:val="28"/>
          <w:lang w:val="en-US"/>
        </w:rPr>
      </w:pPr>
      <w:r w:rsidRPr="002F48F7">
        <w:rPr>
          <w:rFonts w:ascii="Times New Roman" w:hAnsi="Times New Roman" w:cs="Times New Roman"/>
          <w:b/>
          <w:sz w:val="28"/>
          <w:szCs w:val="28"/>
          <w:lang w:val="en-US"/>
        </w:rPr>
        <w:t>Acknowledgements</w:t>
      </w:r>
      <w:r w:rsidRPr="002F48F7">
        <w:rPr>
          <w:rFonts w:ascii="Times New Roman" w:hAnsi="Times New Roman" w:cs="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14:paraId="1996403E" w14:textId="77777777" w:rsidR="00BC72B3" w:rsidRPr="00305443" w:rsidRDefault="00BC72B3" w:rsidP="00BC72B3">
      <w:pPr>
        <w:spacing w:after="0" w:line="360" w:lineRule="auto"/>
        <w:ind w:firstLine="454"/>
        <w:jc w:val="both"/>
        <w:rPr>
          <w:rStyle w:val="Emphasis"/>
          <w:rFonts w:ascii="Times New Roman" w:hAnsi="Times New Roman" w:cs="Times New Roman"/>
          <w:i w:val="0"/>
          <w:sz w:val="28"/>
          <w:szCs w:val="28"/>
          <w:lang w:val="en-US"/>
        </w:rPr>
      </w:pPr>
    </w:p>
    <w:p w14:paraId="342B38C1" w14:textId="77777777" w:rsidR="00BC72B3" w:rsidRPr="000010A1" w:rsidRDefault="00BC72B3" w:rsidP="00BC72B3">
      <w:pPr>
        <w:spacing w:after="0" w:line="360" w:lineRule="auto"/>
        <w:jc w:val="both"/>
        <w:rPr>
          <w:rStyle w:val="Emphasis"/>
          <w:rFonts w:ascii="Times New Roman" w:hAnsi="Times New Roman" w:cs="Times New Roman"/>
          <w:b/>
          <w:i w:val="0"/>
          <w:sz w:val="28"/>
          <w:szCs w:val="28"/>
          <w:lang w:val="en-US"/>
        </w:rPr>
      </w:pPr>
      <w:r w:rsidRPr="000010A1">
        <w:rPr>
          <w:rStyle w:val="Emphasis"/>
          <w:rFonts w:ascii="Times New Roman" w:hAnsi="Times New Roman" w:cs="Times New Roman"/>
          <w:b/>
          <w:i w:val="0"/>
          <w:sz w:val="28"/>
          <w:szCs w:val="28"/>
          <w:lang w:val="en-US"/>
        </w:rPr>
        <w:lastRenderedPageBreak/>
        <w:t>References:</w:t>
      </w:r>
    </w:p>
    <w:p w14:paraId="792D20B9"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[1] </w:t>
      </w:r>
      <w:r w:rsidRPr="00305443">
        <w:rPr>
          <w:rStyle w:val="Emphasis"/>
          <w:rFonts w:ascii="Times New Roman" w:hAnsi="Times New Roman" w:cs="Times New Roman"/>
          <w:i w:val="0"/>
          <w:sz w:val="28"/>
          <w:szCs w:val="28"/>
          <w:lang w:val="en-US"/>
        </w:rPr>
        <w:t>The official website of Kazkommertsbank www.kkb.kz</w:t>
      </w:r>
    </w:p>
    <w:p w14:paraId="534D4687"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[2] </w:t>
      </w:r>
      <w:r w:rsidRPr="00305443">
        <w:rPr>
          <w:rStyle w:val="Emphasis"/>
          <w:rFonts w:ascii="Times New Roman" w:hAnsi="Times New Roman" w:cs="Times New Roman"/>
          <w:i w:val="0"/>
          <w:sz w:val="28"/>
          <w:szCs w:val="28"/>
          <w:lang w:val="en-US"/>
        </w:rPr>
        <w:t>The official website of Bank CenterCredit www.bcc.kz</w:t>
      </w:r>
    </w:p>
    <w:p w14:paraId="5697837B"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[3] </w:t>
      </w:r>
      <w:r w:rsidRPr="00305443">
        <w:rPr>
          <w:rStyle w:val="Emphasis"/>
          <w:rFonts w:ascii="Times New Roman" w:hAnsi="Times New Roman" w:cs="Times New Roman"/>
          <w:i w:val="0"/>
          <w:sz w:val="28"/>
          <w:szCs w:val="28"/>
          <w:lang w:val="en-US"/>
        </w:rPr>
        <w:t>The official site of the Halyk Bank of Kazakhstan www.halykbank.kz</w:t>
      </w:r>
    </w:p>
    <w:p w14:paraId="0D9BE8BE"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[4]</w:t>
      </w:r>
      <w:r w:rsidRPr="00305443">
        <w:rPr>
          <w:rStyle w:val="Emphasis"/>
          <w:rFonts w:ascii="Times New Roman" w:hAnsi="Times New Roman" w:cs="Times New Roman"/>
          <w:i w:val="0"/>
          <w:sz w:val="28"/>
          <w:szCs w:val="28"/>
          <w:lang w:val="en-US"/>
        </w:rPr>
        <w:t xml:space="preserve"> The official website of ATF Bank www.atfbank.kz</w:t>
      </w:r>
    </w:p>
    <w:p w14:paraId="313C7972"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[5] </w:t>
      </w:r>
      <w:r w:rsidRPr="00305443">
        <w:rPr>
          <w:rStyle w:val="Emphasis"/>
          <w:rFonts w:ascii="Times New Roman" w:hAnsi="Times New Roman" w:cs="Times New Roman"/>
          <w:i w:val="0"/>
          <w:sz w:val="28"/>
          <w:szCs w:val="28"/>
          <w:lang w:val="en-US"/>
        </w:rPr>
        <w:t>Official website of ForteBank www.fortebank.com</w:t>
      </w:r>
    </w:p>
    <w:p w14:paraId="780BDBA2"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[6] </w:t>
      </w:r>
      <w:r w:rsidRPr="00305443">
        <w:rPr>
          <w:rStyle w:val="Emphasis"/>
          <w:rFonts w:ascii="Times New Roman" w:hAnsi="Times New Roman" w:cs="Times New Roman"/>
          <w:i w:val="0"/>
          <w:sz w:val="28"/>
          <w:szCs w:val="28"/>
          <w:lang w:val="en-US"/>
        </w:rPr>
        <w:t xml:space="preserve">The official site of the </w:t>
      </w:r>
      <w:r>
        <w:rPr>
          <w:rStyle w:val="Emphasis"/>
          <w:rFonts w:ascii="Times New Roman" w:hAnsi="Times New Roman" w:cs="Times New Roman"/>
          <w:i w:val="0"/>
          <w:sz w:val="28"/>
          <w:szCs w:val="28"/>
          <w:lang w:val="en-US"/>
        </w:rPr>
        <w:t>SB KZI</w:t>
      </w:r>
      <w:r w:rsidRPr="00305443">
        <w:rPr>
          <w:rStyle w:val="Emphasis"/>
          <w:rFonts w:ascii="Times New Roman" w:hAnsi="Times New Roman" w:cs="Times New Roman"/>
          <w:i w:val="0"/>
          <w:sz w:val="28"/>
          <w:szCs w:val="28"/>
          <w:lang w:val="en-US"/>
        </w:rPr>
        <w:t>Bank www.kzibank.com</w:t>
      </w:r>
    </w:p>
    <w:p w14:paraId="79F5D228" w14:textId="77777777" w:rsidR="00BC72B3" w:rsidRPr="002B1691"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[7] </w:t>
      </w:r>
      <w:r w:rsidRPr="00305443">
        <w:rPr>
          <w:rStyle w:val="Emphasis"/>
          <w:rFonts w:ascii="Times New Roman" w:hAnsi="Times New Roman" w:cs="Times New Roman"/>
          <w:i w:val="0"/>
          <w:sz w:val="28"/>
          <w:szCs w:val="28"/>
          <w:lang w:val="en-US"/>
        </w:rPr>
        <w:t xml:space="preserve">The international rating agency Fitch Ratings </w:t>
      </w:r>
      <w:r w:rsidRPr="000010A1">
        <w:rPr>
          <w:rFonts w:ascii="Times New Roman" w:hAnsi="Times New Roman" w:cs="Times New Roman"/>
          <w:sz w:val="28"/>
          <w:szCs w:val="28"/>
          <w:lang w:val="en-US"/>
        </w:rPr>
        <w:t>www.fitchratings.com</w:t>
      </w:r>
    </w:p>
    <w:p w14:paraId="668C2F8E" w14:textId="77777777" w:rsidR="00BC72B3" w:rsidRPr="002B1691"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[8] </w:t>
      </w:r>
      <w:r w:rsidRPr="002B1691">
        <w:rPr>
          <w:rStyle w:val="Emphasis"/>
          <w:rFonts w:ascii="Times New Roman" w:hAnsi="Times New Roman" w:cs="Times New Roman"/>
          <w:i w:val="0"/>
          <w:sz w:val="28"/>
          <w:szCs w:val="28"/>
          <w:lang w:val="en-US"/>
        </w:rPr>
        <w:t xml:space="preserve">The international rating agency Moody's Investors Service </w:t>
      </w:r>
      <w:r w:rsidRPr="000010A1">
        <w:rPr>
          <w:rFonts w:ascii="Times New Roman" w:hAnsi="Times New Roman" w:cs="Times New Roman"/>
          <w:sz w:val="28"/>
          <w:szCs w:val="28"/>
          <w:lang w:val="en-US"/>
        </w:rPr>
        <w:t>https://www.moodys.com</w:t>
      </w:r>
    </w:p>
    <w:p w14:paraId="2B095180" w14:textId="77777777" w:rsidR="00BC72B3" w:rsidRPr="00305443" w:rsidRDefault="00BC72B3" w:rsidP="00BC72B3">
      <w:pPr>
        <w:spacing w:after="0" w:line="360" w:lineRule="auto"/>
        <w:jc w:val="both"/>
        <w:rPr>
          <w:rStyle w:val="Emphasis"/>
          <w:rFonts w:ascii="Times New Roman" w:hAnsi="Times New Roman" w:cs="Times New Roman"/>
          <w:i w:val="0"/>
          <w:sz w:val="28"/>
          <w:szCs w:val="28"/>
          <w:lang w:val="en-US"/>
        </w:rPr>
      </w:pPr>
      <w:r>
        <w:rPr>
          <w:rStyle w:val="Emphasis"/>
          <w:rFonts w:ascii="Times New Roman" w:hAnsi="Times New Roman" w:cs="Times New Roman"/>
          <w:i w:val="0"/>
          <w:sz w:val="28"/>
          <w:szCs w:val="28"/>
          <w:lang w:val="en-US"/>
        </w:rPr>
        <w:t xml:space="preserve">[9] </w:t>
      </w:r>
      <w:r w:rsidRPr="002B1691">
        <w:rPr>
          <w:rStyle w:val="Emphasis"/>
          <w:rFonts w:ascii="Times New Roman" w:hAnsi="Times New Roman" w:cs="Times New Roman"/>
          <w:i w:val="0"/>
          <w:sz w:val="28"/>
          <w:szCs w:val="28"/>
          <w:lang w:val="en-US"/>
        </w:rPr>
        <w:t xml:space="preserve">The international rating agency </w:t>
      </w:r>
      <w:r w:rsidRPr="00305443">
        <w:rPr>
          <w:rStyle w:val="Emphasis"/>
          <w:rFonts w:ascii="Times New Roman" w:hAnsi="Times New Roman" w:cs="Times New Roman"/>
          <w:i w:val="0"/>
          <w:sz w:val="28"/>
          <w:szCs w:val="28"/>
          <w:lang w:val="en-US"/>
        </w:rPr>
        <w:t>Standard &amp; Poor's http://www.standardandpoors.com</w:t>
      </w:r>
    </w:p>
    <w:p w14:paraId="1F885918" w14:textId="77777777" w:rsidR="00BC72B3" w:rsidRPr="000010A1" w:rsidRDefault="00BC72B3" w:rsidP="00BC72B3">
      <w:pPr>
        <w:spacing w:after="0" w:line="360" w:lineRule="auto"/>
        <w:jc w:val="both"/>
        <w:rPr>
          <w:rFonts w:ascii="Times New Roman" w:hAnsi="Times New Roman" w:cs="Times New Roman"/>
          <w:iCs/>
          <w:sz w:val="28"/>
          <w:szCs w:val="28"/>
          <w:lang w:val="en-US"/>
        </w:rPr>
      </w:pPr>
      <w:r>
        <w:rPr>
          <w:rStyle w:val="Emphasis"/>
          <w:rFonts w:ascii="Times New Roman" w:hAnsi="Times New Roman" w:cs="Times New Roman"/>
          <w:i w:val="0"/>
          <w:sz w:val="28"/>
          <w:szCs w:val="28"/>
          <w:lang w:val="en-US"/>
        </w:rPr>
        <w:t>[10] The o</w:t>
      </w:r>
      <w:r w:rsidRPr="00305443">
        <w:rPr>
          <w:rStyle w:val="Emphasis"/>
          <w:rFonts w:ascii="Times New Roman" w:hAnsi="Times New Roman" w:cs="Times New Roman"/>
          <w:i w:val="0"/>
          <w:sz w:val="28"/>
          <w:szCs w:val="28"/>
          <w:lang w:val="en-US"/>
        </w:rPr>
        <w:t>fficial website of the National Bank of the Republic of Kazakhstan http://www.nationalbank.kz</w:t>
      </w:r>
    </w:p>
    <w:p w14:paraId="4CCEAD08" w14:textId="77777777" w:rsidR="00C445E1" w:rsidRPr="000728D2" w:rsidRDefault="00C445E1">
      <w:pPr>
        <w:rPr>
          <w:lang w:val="en-GB"/>
        </w:rPr>
      </w:pPr>
    </w:p>
    <w:sectPr w:rsidR="00C445E1" w:rsidRPr="000728D2" w:rsidSect="0030544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F0F89" w14:textId="77777777" w:rsidR="00DA31AF" w:rsidRDefault="00DA31AF">
      <w:pPr>
        <w:spacing w:after="0" w:line="240" w:lineRule="auto"/>
      </w:pPr>
      <w:r>
        <w:separator/>
      </w:r>
    </w:p>
  </w:endnote>
  <w:endnote w:type="continuationSeparator" w:id="0">
    <w:p w14:paraId="79F86A21" w14:textId="77777777" w:rsidR="00DA31AF" w:rsidRDefault="00DA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D409" w14:textId="77777777" w:rsidR="00DA31AF" w:rsidRDefault="00DA31AF">
      <w:pPr>
        <w:spacing w:after="0" w:line="240" w:lineRule="auto"/>
      </w:pPr>
      <w:r>
        <w:separator/>
      </w:r>
    </w:p>
  </w:footnote>
  <w:footnote w:type="continuationSeparator" w:id="0">
    <w:p w14:paraId="372CA8CD" w14:textId="77777777" w:rsidR="00DA31AF" w:rsidRDefault="00DA3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B3"/>
    <w:rsid w:val="000728D2"/>
    <w:rsid w:val="000C06EE"/>
    <w:rsid w:val="00141326"/>
    <w:rsid w:val="001674B3"/>
    <w:rsid w:val="001E5D8B"/>
    <w:rsid w:val="0021351E"/>
    <w:rsid w:val="00227BAC"/>
    <w:rsid w:val="0026495C"/>
    <w:rsid w:val="00276C75"/>
    <w:rsid w:val="00292077"/>
    <w:rsid w:val="002936B3"/>
    <w:rsid w:val="002C62CE"/>
    <w:rsid w:val="002E0D9C"/>
    <w:rsid w:val="002E279C"/>
    <w:rsid w:val="002E52AA"/>
    <w:rsid w:val="00330707"/>
    <w:rsid w:val="00344392"/>
    <w:rsid w:val="003646C2"/>
    <w:rsid w:val="004107BA"/>
    <w:rsid w:val="00415DAE"/>
    <w:rsid w:val="004F7874"/>
    <w:rsid w:val="00542B73"/>
    <w:rsid w:val="00546502"/>
    <w:rsid w:val="00571E63"/>
    <w:rsid w:val="005A4C78"/>
    <w:rsid w:val="00690F6B"/>
    <w:rsid w:val="006D10D8"/>
    <w:rsid w:val="00707287"/>
    <w:rsid w:val="007778D2"/>
    <w:rsid w:val="0078629A"/>
    <w:rsid w:val="00813FC7"/>
    <w:rsid w:val="008B7F7F"/>
    <w:rsid w:val="008D6540"/>
    <w:rsid w:val="008E4D5F"/>
    <w:rsid w:val="008F29E3"/>
    <w:rsid w:val="008F3EF9"/>
    <w:rsid w:val="00914493"/>
    <w:rsid w:val="00924FE5"/>
    <w:rsid w:val="009302DC"/>
    <w:rsid w:val="00991B95"/>
    <w:rsid w:val="009921C7"/>
    <w:rsid w:val="00993210"/>
    <w:rsid w:val="009D48C2"/>
    <w:rsid w:val="009E1687"/>
    <w:rsid w:val="00A2317D"/>
    <w:rsid w:val="00A57461"/>
    <w:rsid w:val="00A61B81"/>
    <w:rsid w:val="00A94A9A"/>
    <w:rsid w:val="00AA68A2"/>
    <w:rsid w:val="00AF6F13"/>
    <w:rsid w:val="00BC72B3"/>
    <w:rsid w:val="00BF754B"/>
    <w:rsid w:val="00C445E1"/>
    <w:rsid w:val="00C45C52"/>
    <w:rsid w:val="00C76EA1"/>
    <w:rsid w:val="00CE1315"/>
    <w:rsid w:val="00CE7EF9"/>
    <w:rsid w:val="00D07E47"/>
    <w:rsid w:val="00D2063B"/>
    <w:rsid w:val="00D934D4"/>
    <w:rsid w:val="00D9487E"/>
    <w:rsid w:val="00DA2B56"/>
    <w:rsid w:val="00DA31AF"/>
    <w:rsid w:val="00DA3DA9"/>
    <w:rsid w:val="00DB31B5"/>
    <w:rsid w:val="00DC6F94"/>
    <w:rsid w:val="00DD637E"/>
    <w:rsid w:val="00E81C7F"/>
    <w:rsid w:val="00ED12C1"/>
    <w:rsid w:val="00F1121F"/>
    <w:rsid w:val="00F76661"/>
    <w:rsid w:val="00FA1515"/>
    <w:rsid w:val="00FB7BCC"/>
    <w:rsid w:val="00FC4D57"/>
    <w:rsid w:val="00FD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9649"/>
  <w15:chartTrackingRefBased/>
  <w15:docId w15:val="{F8ECEEE7-74E1-4AAE-B522-D775F1D8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72B3"/>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72B3"/>
    <w:rPr>
      <w:i/>
      <w:iCs/>
    </w:rPr>
  </w:style>
  <w:style w:type="paragraph" w:styleId="NormalWeb">
    <w:name w:val="Normal (Web)"/>
    <w:basedOn w:val="Normal"/>
    <w:uiPriority w:val="99"/>
    <w:unhideWhenUsed/>
    <w:rsid w:val="00BC72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BC72B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2B3"/>
    <w:rPr>
      <w:b/>
      <w:bCs/>
    </w:rPr>
  </w:style>
  <w:style w:type="character" w:customStyle="1" w:styleId="minus">
    <w:name w:val="minus"/>
    <w:basedOn w:val="DefaultParagraphFont"/>
    <w:rsid w:val="00BC72B3"/>
  </w:style>
  <w:style w:type="character" w:customStyle="1" w:styleId="pluse">
    <w:name w:val="pluse"/>
    <w:basedOn w:val="DefaultParagraphFont"/>
    <w:rsid w:val="00BC72B3"/>
  </w:style>
  <w:style w:type="character" w:customStyle="1" w:styleId="rvts225538">
    <w:name w:val="rvts2_25538"/>
    <w:basedOn w:val="DefaultParagraphFont"/>
    <w:rsid w:val="00BC72B3"/>
  </w:style>
  <w:style w:type="paragraph" w:styleId="Footer">
    <w:name w:val="footer"/>
    <w:basedOn w:val="Normal"/>
    <w:link w:val="FooterChar"/>
    <w:uiPriority w:val="99"/>
    <w:unhideWhenUsed/>
    <w:rsid w:val="00BC72B3"/>
    <w:pPr>
      <w:tabs>
        <w:tab w:val="center" w:pos="4677"/>
        <w:tab w:val="right" w:pos="9355"/>
      </w:tabs>
      <w:spacing w:after="0" w:line="240" w:lineRule="auto"/>
    </w:pPr>
  </w:style>
  <w:style w:type="character" w:customStyle="1" w:styleId="FooterChar">
    <w:name w:val="Footer Char"/>
    <w:basedOn w:val="DefaultParagraphFont"/>
    <w:link w:val="Footer"/>
    <w:uiPriority w:val="99"/>
    <w:rsid w:val="00BC72B3"/>
    <w:rPr>
      <w:lang w:val="ru-RU"/>
    </w:rPr>
  </w:style>
  <w:style w:type="paragraph" w:styleId="Header">
    <w:name w:val="header"/>
    <w:basedOn w:val="Normal"/>
    <w:link w:val="HeaderChar"/>
    <w:uiPriority w:val="99"/>
    <w:unhideWhenUsed/>
    <w:rsid w:val="0021351E"/>
    <w:pPr>
      <w:tabs>
        <w:tab w:val="center" w:pos="4677"/>
        <w:tab w:val="right" w:pos="9355"/>
      </w:tabs>
      <w:spacing w:after="0" w:line="240" w:lineRule="auto"/>
    </w:pPr>
  </w:style>
  <w:style w:type="character" w:customStyle="1" w:styleId="HeaderChar">
    <w:name w:val="Header Char"/>
    <w:basedOn w:val="DefaultParagraphFont"/>
    <w:link w:val="Header"/>
    <w:uiPriority w:val="99"/>
    <w:rsid w:val="0021351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2038</Words>
  <Characters>11618</Characters>
  <Application>Microsoft Macintosh Word</Application>
  <DocSecurity>0</DocSecurity>
  <Lines>96</Lines>
  <Paragraphs>27</Paragraphs>
  <ScaleCrop>false</ScaleCrop>
  <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Zhuravleva</dc:creator>
  <cp:keywords/>
  <dc:description/>
  <cp:lastModifiedBy>Mohamad Mostafa</cp:lastModifiedBy>
  <cp:revision>3</cp:revision>
  <dcterms:created xsi:type="dcterms:W3CDTF">2017-12-23T17:20:00Z</dcterms:created>
  <dcterms:modified xsi:type="dcterms:W3CDTF">2017-12-23T17:20:00Z</dcterms:modified>
</cp:coreProperties>
</file>