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85" w:rsidRPr="005A76D5" w:rsidRDefault="00606A85" w:rsidP="0095784C">
      <w:pPr>
        <w:pStyle w:val="Sinespaciado"/>
        <w:rPr>
          <w:rFonts w:ascii="Cambria" w:hAnsi="Cambria"/>
          <w:sz w:val="18"/>
          <w:szCs w:val="18"/>
          <w:lang w:val="en-US"/>
        </w:rPr>
      </w:pPr>
      <w:r w:rsidRPr="005A76D5">
        <w:rPr>
          <w:rFonts w:ascii="Cambria" w:hAnsi="Cambria"/>
          <w:sz w:val="18"/>
          <w:szCs w:val="18"/>
          <w:lang w:val="en-US"/>
        </w:rPr>
        <w:t>Sixth Engineering, Science and Technology Conference “Tendencies and Challenges in Engineering, Science and Technology” (ESTEC 2017) October 11 - 13, 2017 Panama City, Panama.</w:t>
      </w:r>
    </w:p>
    <w:p w:rsidR="0064616B" w:rsidRPr="005A76D5" w:rsidRDefault="0064616B">
      <w:pPr>
        <w:rPr>
          <w:sz w:val="18"/>
          <w:szCs w:val="18"/>
          <w:lang w:val="en-US"/>
        </w:rPr>
      </w:pPr>
    </w:p>
    <w:p w:rsidR="002B4241" w:rsidRDefault="002B4241" w:rsidP="00357DC3">
      <w:pPr>
        <w:spacing w:after="0"/>
        <w:jc w:val="center"/>
        <w:rPr>
          <w:rFonts w:ascii="Cambria" w:eastAsiaTheme="majorEastAsia" w:hAnsi="Cambria" w:cs="Arial"/>
          <w:b/>
          <w:sz w:val="36"/>
          <w:szCs w:val="36"/>
        </w:rPr>
      </w:pPr>
      <w:r w:rsidRPr="002B4241">
        <w:rPr>
          <w:rFonts w:ascii="Cambria" w:eastAsiaTheme="majorEastAsia" w:hAnsi="Cambria" w:cs="Arial"/>
          <w:b/>
          <w:sz w:val="36"/>
          <w:szCs w:val="36"/>
        </w:rPr>
        <w:t xml:space="preserve">Determinantes de la innovación en </w:t>
      </w:r>
      <w:r>
        <w:rPr>
          <w:rFonts w:ascii="Cambria" w:eastAsiaTheme="majorEastAsia" w:hAnsi="Cambria" w:cs="Arial"/>
          <w:b/>
          <w:sz w:val="36"/>
          <w:szCs w:val="36"/>
        </w:rPr>
        <w:t>el</w:t>
      </w:r>
      <w:r w:rsidRPr="002B4241">
        <w:rPr>
          <w:rFonts w:ascii="Cambria" w:eastAsiaTheme="majorEastAsia" w:hAnsi="Cambria" w:cs="Arial"/>
          <w:b/>
          <w:sz w:val="36"/>
          <w:szCs w:val="36"/>
        </w:rPr>
        <w:t xml:space="preserve"> sector</w:t>
      </w:r>
      <w:r>
        <w:rPr>
          <w:rFonts w:ascii="Cambria" w:eastAsiaTheme="majorEastAsia" w:hAnsi="Cambria" w:cs="Arial"/>
          <w:b/>
          <w:sz w:val="36"/>
          <w:szCs w:val="36"/>
        </w:rPr>
        <w:t xml:space="preserve"> productivo de Panamá</w:t>
      </w:r>
    </w:p>
    <w:p w:rsidR="002B5E63" w:rsidRPr="006A28EF" w:rsidRDefault="002B5E63" w:rsidP="002B5E63">
      <w:pPr>
        <w:pStyle w:val="Sinespaciado"/>
        <w:spacing w:line="276" w:lineRule="auto"/>
        <w:jc w:val="center"/>
        <w:rPr>
          <w:rFonts w:asciiTheme="majorHAnsi" w:hAnsiTheme="majorHAnsi"/>
          <w:b/>
        </w:rPr>
      </w:pPr>
      <w:r w:rsidRPr="006A28EF">
        <w:rPr>
          <w:rFonts w:asciiTheme="majorHAnsi" w:hAnsiTheme="majorHAnsi"/>
          <w:b/>
        </w:rPr>
        <w:t>Víctor M. Guillén Pérez</w:t>
      </w:r>
    </w:p>
    <w:p w:rsidR="002B5E63" w:rsidRPr="006A28EF" w:rsidRDefault="002B5E63" w:rsidP="002B5E63">
      <w:pPr>
        <w:pStyle w:val="Sinespaciado"/>
        <w:spacing w:line="276" w:lineRule="auto"/>
        <w:jc w:val="center"/>
        <w:rPr>
          <w:rFonts w:asciiTheme="majorHAnsi" w:hAnsiTheme="majorHAnsi"/>
          <w:b/>
          <w:sz w:val="22"/>
          <w:szCs w:val="22"/>
        </w:rPr>
      </w:pPr>
      <w:r w:rsidRPr="006A28EF">
        <w:rPr>
          <w:rFonts w:asciiTheme="majorHAnsi" w:hAnsiTheme="majorHAnsi"/>
          <w:b/>
          <w:sz w:val="22"/>
          <w:szCs w:val="22"/>
        </w:rPr>
        <w:t>Universidad Tecnológica de Panamá</w:t>
      </w:r>
    </w:p>
    <w:p w:rsidR="002B5E63" w:rsidRPr="00471C4C" w:rsidRDefault="00CF3A8C" w:rsidP="002B5E63">
      <w:pPr>
        <w:pStyle w:val="Sinespaciado"/>
        <w:spacing w:line="276" w:lineRule="auto"/>
        <w:jc w:val="center"/>
        <w:rPr>
          <w:rFonts w:asciiTheme="majorHAnsi" w:hAnsiTheme="majorHAnsi"/>
          <w:b/>
          <w:sz w:val="22"/>
          <w:szCs w:val="22"/>
        </w:rPr>
      </w:pPr>
      <w:hyperlink r:id="rId6" w:history="1">
        <w:r w:rsidR="00471C4C" w:rsidRPr="0025306C">
          <w:rPr>
            <w:rStyle w:val="Hipervnculo"/>
            <w:rFonts w:asciiTheme="majorHAnsi" w:hAnsiTheme="majorHAnsi"/>
            <w:b/>
            <w:sz w:val="22"/>
            <w:szCs w:val="22"/>
          </w:rPr>
          <w:t>victor.guillen@utp.ac.pa</w:t>
        </w:r>
      </w:hyperlink>
    </w:p>
    <w:p w:rsidR="002B5E63" w:rsidRPr="006A28EF" w:rsidRDefault="002B5E63" w:rsidP="002B5E63">
      <w:pPr>
        <w:pStyle w:val="Sinespaciado"/>
        <w:spacing w:line="276" w:lineRule="auto"/>
        <w:jc w:val="center"/>
        <w:rPr>
          <w:rFonts w:asciiTheme="majorHAnsi" w:hAnsiTheme="majorHAnsi"/>
          <w:b/>
        </w:rPr>
      </w:pPr>
      <w:r w:rsidRPr="006A28EF">
        <w:rPr>
          <w:rFonts w:asciiTheme="majorHAnsi" w:hAnsiTheme="majorHAnsi"/>
          <w:b/>
        </w:rPr>
        <w:t xml:space="preserve">Yamileth </w:t>
      </w:r>
      <w:proofErr w:type="spellStart"/>
      <w:r w:rsidRPr="006A28EF">
        <w:rPr>
          <w:rFonts w:asciiTheme="majorHAnsi" w:hAnsiTheme="majorHAnsi"/>
          <w:b/>
        </w:rPr>
        <w:t>Pittí</w:t>
      </w:r>
      <w:proofErr w:type="spellEnd"/>
      <w:r w:rsidRPr="006A28EF">
        <w:rPr>
          <w:rFonts w:asciiTheme="majorHAnsi" w:hAnsiTheme="majorHAnsi"/>
          <w:b/>
        </w:rPr>
        <w:t xml:space="preserve"> Pinzón</w:t>
      </w:r>
    </w:p>
    <w:p w:rsidR="002B5E63" w:rsidRPr="00471C4C" w:rsidRDefault="002B5E63" w:rsidP="002B5E63">
      <w:pPr>
        <w:pStyle w:val="Sinespaciado"/>
        <w:spacing w:line="276" w:lineRule="auto"/>
        <w:jc w:val="center"/>
        <w:rPr>
          <w:rFonts w:asciiTheme="majorHAnsi" w:hAnsiTheme="majorHAnsi"/>
          <w:b/>
          <w:sz w:val="22"/>
          <w:szCs w:val="22"/>
        </w:rPr>
      </w:pPr>
      <w:r w:rsidRPr="00471C4C">
        <w:rPr>
          <w:rFonts w:asciiTheme="majorHAnsi" w:hAnsiTheme="majorHAnsi"/>
          <w:b/>
          <w:sz w:val="22"/>
          <w:szCs w:val="22"/>
        </w:rPr>
        <w:t>Universidad Tecnológica de Panamá</w:t>
      </w:r>
    </w:p>
    <w:p w:rsidR="002B5E63" w:rsidRPr="00471C4C" w:rsidRDefault="00CF3A8C" w:rsidP="002B5E63">
      <w:pPr>
        <w:pStyle w:val="Sinespaciado"/>
        <w:spacing w:line="276" w:lineRule="auto"/>
        <w:jc w:val="center"/>
        <w:rPr>
          <w:rFonts w:asciiTheme="majorHAnsi" w:hAnsiTheme="majorHAnsi"/>
          <w:b/>
          <w:sz w:val="22"/>
          <w:szCs w:val="22"/>
        </w:rPr>
      </w:pPr>
      <w:hyperlink r:id="rId7" w:history="1">
        <w:r w:rsidR="00471C4C" w:rsidRPr="0025306C">
          <w:rPr>
            <w:rStyle w:val="Hipervnculo"/>
            <w:rFonts w:asciiTheme="majorHAnsi" w:hAnsiTheme="majorHAnsi"/>
            <w:b/>
            <w:sz w:val="22"/>
            <w:szCs w:val="22"/>
          </w:rPr>
          <w:t>yamileth.pitti@utp.ac.pa</w:t>
        </w:r>
      </w:hyperlink>
    </w:p>
    <w:p w:rsidR="00606A85" w:rsidRPr="005910FF" w:rsidRDefault="00606A85" w:rsidP="00606A85">
      <w:pPr>
        <w:spacing w:after="120"/>
        <w:jc w:val="center"/>
        <w:rPr>
          <w:rFonts w:ascii="Cambria" w:hAnsi="Cambria" w:cs="Calibri Light"/>
          <w:b/>
          <w:smallCaps/>
          <w:noProof/>
          <w:sz w:val="24"/>
          <w:szCs w:val="24"/>
          <w:lang w:val="es-MX"/>
        </w:rPr>
      </w:pPr>
      <w:bookmarkStart w:id="0" w:name="_Toc461781070"/>
    </w:p>
    <w:p w:rsidR="00606A85" w:rsidRPr="00CF3A8C" w:rsidRDefault="00606A85" w:rsidP="00606A85">
      <w:pPr>
        <w:spacing w:after="120"/>
        <w:jc w:val="center"/>
        <w:rPr>
          <w:rFonts w:ascii="Cambria" w:hAnsi="Cambria" w:cs="Calibri Light"/>
          <w:b/>
          <w:smallCaps/>
          <w:noProof/>
          <w:sz w:val="24"/>
          <w:szCs w:val="24"/>
          <w:lang w:val="en-US"/>
        </w:rPr>
      </w:pPr>
      <w:r w:rsidRPr="00CF3A8C">
        <w:rPr>
          <w:rFonts w:ascii="Cambria" w:hAnsi="Cambria" w:cs="Calibri Light"/>
          <w:b/>
          <w:smallCaps/>
          <w:noProof/>
          <w:sz w:val="24"/>
          <w:szCs w:val="24"/>
          <w:lang w:val="en-US"/>
        </w:rPr>
        <w:t>Abstract</w:t>
      </w:r>
    </w:p>
    <w:p w:rsidR="00A50ECC" w:rsidRPr="00A50ECC" w:rsidRDefault="00A50ECC" w:rsidP="00A50ECC">
      <w:pPr>
        <w:spacing w:before="120" w:line="240" w:lineRule="auto"/>
        <w:jc w:val="both"/>
        <w:rPr>
          <w:rFonts w:asciiTheme="majorHAnsi" w:hAnsiTheme="majorHAnsi" w:cs="Arial"/>
          <w:color w:val="222222"/>
          <w:lang w:val="en"/>
        </w:rPr>
      </w:pPr>
      <w:r w:rsidRPr="00A50ECC">
        <w:rPr>
          <w:rFonts w:asciiTheme="majorHAnsi" w:hAnsiTheme="majorHAnsi" w:cs="Arial"/>
          <w:color w:val="222222"/>
          <w:lang w:val="en"/>
        </w:rPr>
        <w:t xml:space="preserve">There is consensus on the positive relationship between research and development, innovation and productivity, however there are other variables related to the topic that are important to identify. At the national level, studies on innovation are scarce, so it is necessary to go deeper into it. This research focused on identifying the factors that determine innovation in the productive sectors of Panama. An extensive bibliography on innovation in the productive sectors was reviewed at global and national levels. The food industry database of the </w:t>
      </w:r>
      <w:r w:rsidRPr="00306FDD">
        <w:rPr>
          <w:rFonts w:asciiTheme="majorHAnsi" w:hAnsiTheme="majorHAnsi" w:cs="Arial"/>
          <w:lang w:val="en"/>
        </w:rPr>
        <w:t>Agro</w:t>
      </w:r>
      <w:r w:rsidR="00E06D5C" w:rsidRPr="00306FDD">
        <w:rPr>
          <w:rFonts w:asciiTheme="majorHAnsi" w:hAnsiTheme="majorHAnsi" w:cs="Arial"/>
          <w:lang w:val="en"/>
        </w:rPr>
        <w:t>-</w:t>
      </w:r>
      <w:r w:rsidRPr="00306FDD">
        <w:rPr>
          <w:rFonts w:asciiTheme="majorHAnsi" w:hAnsiTheme="majorHAnsi" w:cs="Arial"/>
          <w:lang w:val="en"/>
        </w:rPr>
        <w:t xml:space="preserve">industrial </w:t>
      </w:r>
      <w:r w:rsidRPr="00A50ECC">
        <w:rPr>
          <w:rFonts w:asciiTheme="majorHAnsi" w:hAnsiTheme="majorHAnsi" w:cs="Arial"/>
          <w:color w:val="222222"/>
          <w:lang w:val="en"/>
        </w:rPr>
        <w:t xml:space="preserve">Production and Research Center was analyzed and case studies were carried out in national companies. The study found that the main factors that drive innovation in companies are: workforce skills, investment in R &amp; D, market orientation, use of ICTs, links between public and private players, company size, </w:t>
      </w:r>
      <w:r>
        <w:rPr>
          <w:rFonts w:asciiTheme="majorHAnsi" w:hAnsiTheme="majorHAnsi" w:cs="Arial"/>
          <w:color w:val="222222"/>
          <w:lang w:val="en"/>
        </w:rPr>
        <w:t>n</w:t>
      </w:r>
      <w:r w:rsidRPr="00A50ECC">
        <w:rPr>
          <w:rFonts w:asciiTheme="majorHAnsi" w:hAnsiTheme="majorHAnsi" w:cs="Arial"/>
          <w:color w:val="222222"/>
          <w:lang w:val="en"/>
        </w:rPr>
        <w:t xml:space="preserve">etworking, university-government-business interaction, and innovation subsidies. In the case studies conducted in Panama, the key factors that explain innovation in agro-industries are the following: investment in machinery and equipment links with supplier companies, customers and competitors, and demand or market orientation. </w:t>
      </w:r>
    </w:p>
    <w:p w:rsidR="00606A85" w:rsidRPr="00606A85" w:rsidRDefault="00606A85" w:rsidP="00357DC3">
      <w:pPr>
        <w:spacing w:before="120" w:after="120"/>
        <w:rPr>
          <w:rFonts w:ascii="Cambria" w:hAnsi="Cambria" w:cs="Calibri Light"/>
          <w:lang w:val="en-US"/>
        </w:rPr>
      </w:pPr>
      <w:r w:rsidRPr="00606A85">
        <w:rPr>
          <w:rFonts w:ascii="Cambria" w:hAnsi="Cambria" w:cs="Calibri Light"/>
          <w:b/>
          <w:noProof/>
          <w:lang w:val="en-US"/>
        </w:rPr>
        <w:t xml:space="preserve">Keywords: </w:t>
      </w:r>
      <w:r w:rsidR="00E13E13" w:rsidRPr="00E13E13">
        <w:rPr>
          <w:rFonts w:asciiTheme="majorHAnsi" w:hAnsiTheme="majorHAnsi" w:cs="Arial"/>
          <w:color w:val="222222"/>
          <w:lang w:val="en"/>
        </w:rPr>
        <w:t>Innovation, research and development, productive sector</w:t>
      </w:r>
      <w:r w:rsidR="00E13E13" w:rsidRPr="00606A85">
        <w:rPr>
          <w:rFonts w:ascii="Cambria" w:hAnsi="Cambria" w:cs="Calibri Light"/>
          <w:lang w:val="en-US"/>
        </w:rPr>
        <w:t xml:space="preserve"> </w:t>
      </w:r>
    </w:p>
    <w:p w:rsidR="00606A85" w:rsidRPr="00666DFA" w:rsidRDefault="00606A85" w:rsidP="00606A85">
      <w:pPr>
        <w:spacing w:before="240" w:after="120"/>
        <w:jc w:val="center"/>
        <w:rPr>
          <w:rFonts w:ascii="Cambria" w:hAnsi="Cambria" w:cs="Calibri Light"/>
          <w:b/>
          <w:smallCaps/>
          <w:noProof/>
          <w:sz w:val="24"/>
          <w:szCs w:val="24"/>
        </w:rPr>
      </w:pPr>
      <w:r w:rsidRPr="00666DFA">
        <w:rPr>
          <w:rFonts w:ascii="Cambria" w:hAnsi="Cambria" w:cs="Calibri Light"/>
          <w:b/>
          <w:smallCaps/>
          <w:noProof/>
          <w:sz w:val="24"/>
          <w:szCs w:val="24"/>
        </w:rPr>
        <w:t>Resumen</w:t>
      </w:r>
    </w:p>
    <w:p w:rsidR="0011583A" w:rsidRPr="00B90D7D" w:rsidRDefault="00D17FAF" w:rsidP="0011583A">
      <w:pPr>
        <w:spacing w:after="120" w:line="240" w:lineRule="auto"/>
        <w:jc w:val="both"/>
        <w:rPr>
          <w:rFonts w:asciiTheme="majorHAnsi" w:hAnsiTheme="majorHAnsi" w:cs="Arial"/>
          <w:szCs w:val="24"/>
          <w:lang w:val="es-PA"/>
        </w:rPr>
      </w:pPr>
      <w:r>
        <w:rPr>
          <w:rFonts w:ascii="Cambria" w:hAnsi="Cambria"/>
          <w:lang w:val="es-PA"/>
        </w:rPr>
        <w:t xml:space="preserve">Existe </w:t>
      </w:r>
      <w:r w:rsidR="00FE78E3">
        <w:rPr>
          <w:rFonts w:ascii="Cambria" w:hAnsi="Cambria"/>
          <w:lang w:val="es-PA"/>
        </w:rPr>
        <w:t xml:space="preserve">consenso </w:t>
      </w:r>
      <w:r w:rsidR="001E7B31" w:rsidRPr="00391463">
        <w:rPr>
          <w:rFonts w:ascii="Cambria" w:hAnsi="Cambria"/>
          <w:lang w:val="es-PA"/>
        </w:rPr>
        <w:t xml:space="preserve">sobre la relación positiva entre investigación y desarrollo, innovación </w:t>
      </w:r>
      <w:r>
        <w:rPr>
          <w:rFonts w:ascii="Cambria" w:hAnsi="Cambria"/>
          <w:lang w:val="es-PA"/>
        </w:rPr>
        <w:t>y productividad</w:t>
      </w:r>
      <w:r w:rsidR="001E7B31" w:rsidRPr="00391463">
        <w:rPr>
          <w:rFonts w:ascii="Cambria" w:hAnsi="Cambria"/>
          <w:lang w:val="es-PA"/>
        </w:rPr>
        <w:t xml:space="preserve">, sin embargo hay otras variables </w:t>
      </w:r>
      <w:r>
        <w:rPr>
          <w:rFonts w:ascii="Cambria" w:hAnsi="Cambria"/>
          <w:lang w:val="es-PA"/>
        </w:rPr>
        <w:t xml:space="preserve">relacionadas al </w:t>
      </w:r>
      <w:r w:rsidR="005910FF">
        <w:rPr>
          <w:rFonts w:ascii="Cambria" w:hAnsi="Cambria"/>
          <w:lang w:val="es-PA"/>
        </w:rPr>
        <w:t xml:space="preserve">tema </w:t>
      </w:r>
      <w:r w:rsidR="001E7B31" w:rsidRPr="00391463">
        <w:rPr>
          <w:rFonts w:ascii="Cambria" w:hAnsi="Cambria"/>
          <w:lang w:val="es-PA"/>
        </w:rPr>
        <w:t>que</w:t>
      </w:r>
      <w:r w:rsidR="001E7B31" w:rsidRPr="0095784C">
        <w:rPr>
          <w:rFonts w:ascii="Cambria" w:hAnsi="Cambria"/>
          <w:lang w:val="es-PA"/>
        </w:rPr>
        <w:t xml:space="preserve"> </w:t>
      </w:r>
      <w:r w:rsidR="00DF78ED" w:rsidRPr="0095784C">
        <w:rPr>
          <w:rFonts w:ascii="Cambria" w:hAnsi="Cambria"/>
          <w:lang w:val="es-PA"/>
        </w:rPr>
        <w:t xml:space="preserve">son </w:t>
      </w:r>
      <w:r w:rsidR="001E7B31" w:rsidRPr="00391463">
        <w:rPr>
          <w:rFonts w:ascii="Cambria" w:hAnsi="Cambria"/>
          <w:lang w:val="es-PA"/>
        </w:rPr>
        <w:t>importante</w:t>
      </w:r>
      <w:r w:rsidR="00DF78ED">
        <w:rPr>
          <w:rFonts w:ascii="Cambria" w:hAnsi="Cambria"/>
          <w:lang w:val="es-PA"/>
        </w:rPr>
        <w:t>s</w:t>
      </w:r>
      <w:r w:rsidR="001E7B31" w:rsidRPr="00391463">
        <w:rPr>
          <w:rFonts w:ascii="Cambria" w:hAnsi="Cambria"/>
          <w:lang w:val="es-PA"/>
        </w:rPr>
        <w:t xml:space="preserve"> identificar. </w:t>
      </w:r>
      <w:r w:rsidR="001E7B31" w:rsidRPr="00391463">
        <w:rPr>
          <w:rFonts w:ascii="Cambria" w:hAnsi="Cambria"/>
        </w:rPr>
        <w:t xml:space="preserve">A nivel nacional son </w:t>
      </w:r>
      <w:r>
        <w:rPr>
          <w:rFonts w:ascii="Cambria" w:hAnsi="Cambria"/>
        </w:rPr>
        <w:t xml:space="preserve">escasos los estudios sobre innovación </w:t>
      </w:r>
      <w:r w:rsidR="001E7B31">
        <w:rPr>
          <w:rFonts w:ascii="Cambria" w:hAnsi="Cambria"/>
        </w:rPr>
        <w:t>por lo que se hace necesario profundizar en el mismo</w:t>
      </w:r>
      <w:r w:rsidR="001E7B31" w:rsidRPr="00391463">
        <w:rPr>
          <w:rFonts w:ascii="Cambria" w:hAnsi="Cambria"/>
        </w:rPr>
        <w:t xml:space="preserve">. </w:t>
      </w:r>
      <w:r w:rsidR="00DF78ED" w:rsidRPr="0095784C">
        <w:rPr>
          <w:rFonts w:ascii="Cambria" w:hAnsi="Cambria"/>
        </w:rPr>
        <w:t xml:space="preserve">Esta </w:t>
      </w:r>
      <w:r w:rsidR="001E7B31" w:rsidRPr="00391463">
        <w:rPr>
          <w:rFonts w:ascii="Cambria" w:hAnsi="Cambria"/>
        </w:rPr>
        <w:t xml:space="preserve"> investigación </w:t>
      </w:r>
      <w:r w:rsidR="001E7B31">
        <w:rPr>
          <w:rFonts w:ascii="Cambria" w:hAnsi="Cambria"/>
        </w:rPr>
        <w:t>se enfocó</w:t>
      </w:r>
      <w:r w:rsidR="001E7B31" w:rsidRPr="00391463">
        <w:rPr>
          <w:rFonts w:ascii="Cambria" w:hAnsi="Cambria"/>
        </w:rPr>
        <w:t xml:space="preserve"> en identificar los factores que  determinan la innovación en los sectores productivos de Panamá.  Se revisó una extensa bibliografía sobre la innovación en los sectores productivos a nivel global y nacional. Se analizó la base de datos </w:t>
      </w:r>
      <w:r w:rsidR="00FE78E3" w:rsidRPr="00391463">
        <w:rPr>
          <w:rFonts w:ascii="Cambria" w:hAnsi="Cambria"/>
        </w:rPr>
        <w:t xml:space="preserve">de la industria alimentaria </w:t>
      </w:r>
      <w:r w:rsidR="00FE78E3">
        <w:rPr>
          <w:rFonts w:ascii="Cambria" w:hAnsi="Cambria"/>
        </w:rPr>
        <w:t xml:space="preserve">del </w:t>
      </w:r>
      <w:r w:rsidR="001E7B31" w:rsidRPr="00391463">
        <w:rPr>
          <w:rFonts w:ascii="Cambria" w:hAnsi="Cambria"/>
        </w:rPr>
        <w:t xml:space="preserve">Centro de Producción e Investigaciones Agroindustriales y se realizaron estudios de casos en empresas nacionales. </w:t>
      </w:r>
      <w:r w:rsidR="001E7B31">
        <w:rPr>
          <w:rFonts w:ascii="Cambria" w:hAnsi="Cambria"/>
        </w:rPr>
        <w:t xml:space="preserve">El estudio encontró que los principales factores que impulsan la innovación en las empresas son: habilidades de la fuerza laboral, inversión en I+D, orientación al mercado, uso de </w:t>
      </w:r>
      <w:proofErr w:type="spellStart"/>
      <w:r w:rsidR="001E7B31">
        <w:rPr>
          <w:rFonts w:ascii="Cambria" w:hAnsi="Cambria"/>
        </w:rPr>
        <w:t>TIC´s</w:t>
      </w:r>
      <w:proofErr w:type="spellEnd"/>
      <w:r w:rsidR="001E7B31">
        <w:rPr>
          <w:rFonts w:ascii="Cambria" w:hAnsi="Cambria"/>
        </w:rPr>
        <w:t xml:space="preserve">, vínculos entre los actores públicos y privados, tamaño de la empresa, trabajo en redes, interacción universidad-gobierno-empresa y subsidios a la innovación. </w:t>
      </w:r>
      <w:r w:rsidR="0011583A" w:rsidRPr="00B90D7D">
        <w:rPr>
          <w:rFonts w:asciiTheme="majorHAnsi" w:hAnsiTheme="majorHAnsi" w:cs="Arial"/>
          <w:szCs w:val="24"/>
          <w:lang w:val="es-PA"/>
        </w:rPr>
        <w:t>En los estudios de casos realizados en Panamá, los factores fundamentales que explican la innovación en las agroindustrias son los siguientes: inversión en maquinaria y equipo, vínculos con empresas proveedoras, clientes y competidoras, y demanda u orientación del mercado.</w:t>
      </w:r>
      <w:r w:rsidR="0011583A" w:rsidRPr="00B90D7D">
        <w:rPr>
          <w:rFonts w:asciiTheme="majorHAnsi" w:hAnsiTheme="majorHAnsi" w:cs="Arial"/>
          <w:szCs w:val="24"/>
          <w:lang w:val="es-PA"/>
        </w:rPr>
        <w:tab/>
      </w:r>
    </w:p>
    <w:p w:rsidR="001E7B31" w:rsidRPr="0011583A" w:rsidRDefault="001E7B31" w:rsidP="001E7B31">
      <w:pPr>
        <w:pStyle w:val="Sinespaciado"/>
        <w:rPr>
          <w:rFonts w:ascii="Cambria" w:hAnsi="Cambria"/>
          <w:sz w:val="22"/>
          <w:szCs w:val="22"/>
          <w:lang w:val="es-PA"/>
        </w:rPr>
      </w:pPr>
    </w:p>
    <w:p w:rsidR="00606A85" w:rsidRPr="00666DFA" w:rsidRDefault="00606A85" w:rsidP="00606A85">
      <w:pPr>
        <w:spacing w:before="120"/>
        <w:rPr>
          <w:rFonts w:ascii="Cambria" w:hAnsi="Cambria" w:cs="Calibri Light"/>
        </w:rPr>
      </w:pPr>
      <w:r w:rsidRPr="00666DFA">
        <w:rPr>
          <w:rFonts w:ascii="Cambria" w:hAnsi="Cambria" w:cs="Calibri Light"/>
          <w:b/>
          <w:noProof/>
        </w:rPr>
        <w:t>Palabras claves:</w:t>
      </w:r>
      <w:r w:rsidR="00A50ECC">
        <w:rPr>
          <w:rFonts w:ascii="Cambria" w:hAnsi="Cambria" w:cs="Calibri Light"/>
        </w:rPr>
        <w:t xml:space="preserve"> Innovación, investigación y desarrollo, sector productivo</w:t>
      </w:r>
      <w:r w:rsidR="001E7B31">
        <w:rPr>
          <w:rFonts w:ascii="Cambria" w:hAnsi="Cambria" w:cs="Calibri Light"/>
        </w:rPr>
        <w:t>.</w:t>
      </w:r>
    </w:p>
    <w:p w:rsidR="007553B3" w:rsidRDefault="007553B3" w:rsidP="0076223B">
      <w:pPr>
        <w:pStyle w:val="Ttulo1"/>
        <w:numPr>
          <w:ilvl w:val="0"/>
          <w:numId w:val="2"/>
        </w:numPr>
        <w:spacing w:before="360" w:after="120"/>
        <w:rPr>
          <w:rFonts w:ascii="Cambria" w:hAnsi="Cambria" w:cs="Arial"/>
          <w:color w:val="auto"/>
          <w:sz w:val="24"/>
          <w:szCs w:val="24"/>
          <w:lang w:val="es-PA"/>
        </w:rPr>
      </w:pPr>
      <w:r w:rsidRPr="00471C4C">
        <w:rPr>
          <w:rFonts w:ascii="Cambria" w:hAnsi="Cambria" w:cs="Arial"/>
          <w:color w:val="auto"/>
          <w:sz w:val="24"/>
          <w:szCs w:val="24"/>
          <w:lang w:val="es-PA"/>
        </w:rPr>
        <w:lastRenderedPageBreak/>
        <w:t>INTRODUCCIÓN</w:t>
      </w:r>
      <w:bookmarkEnd w:id="0"/>
    </w:p>
    <w:p w:rsidR="007553B3" w:rsidRPr="00471C4C" w:rsidRDefault="007553B3" w:rsidP="00FF20BF">
      <w:pPr>
        <w:tabs>
          <w:tab w:val="left" w:pos="1754"/>
        </w:tabs>
        <w:spacing w:line="240" w:lineRule="auto"/>
        <w:jc w:val="both"/>
        <w:rPr>
          <w:rFonts w:ascii="Cambria" w:hAnsi="Cambria" w:cs="Arial"/>
          <w:szCs w:val="24"/>
          <w:lang w:val="es-PA"/>
        </w:rPr>
      </w:pPr>
      <w:r w:rsidRPr="00471C4C">
        <w:rPr>
          <w:rFonts w:ascii="Cambria" w:hAnsi="Cambria" w:cs="Arial"/>
          <w:szCs w:val="24"/>
          <w:lang w:val="es-PA"/>
        </w:rPr>
        <w:t>La Política Nacional de Ciencia, Tecnología e Innovación de Panamá y el Plan Nacional 2015-2019 reconocen que “la investigación, el desarrollo tecnológico y la innovación son hoy los principales conductores del crecimiento económico y la competitividad, del desarrollo social y de la cultura”. Organismos internacionales de cooperación como la CEPAL/ONU enfatizan sobre la importancia central de la ciencia, tecnología e innovación como motores del crecimiento incluyente y de largo plazo. La Universidad Tecnológica de Panamá resalta el concepto de la “cultura de innovación como motor integrador para un desarrollo con equidad” en el lema del V Congreso Nacional de Ingeniería, Ciencias y Tecnología, versión 2015. En el Centro de Producción e Investigaciones Agroindustriales (CEPIA) se han realizado algunas investigaciones sobre todo en el área de “sistemas de innovación” usando la metodología de CEPAL.</w:t>
      </w:r>
      <w:r w:rsidR="00471C4C" w:rsidRPr="00471C4C">
        <w:rPr>
          <w:rFonts w:ascii="Cambria" w:hAnsi="Cambria" w:cs="Arial"/>
          <w:szCs w:val="24"/>
          <w:lang w:val="es-PA"/>
        </w:rPr>
        <w:t xml:space="preserve"> </w:t>
      </w:r>
      <w:r w:rsidRPr="00471C4C">
        <w:rPr>
          <w:rFonts w:ascii="Cambria" w:hAnsi="Cambria" w:cs="Arial"/>
          <w:szCs w:val="24"/>
          <w:lang w:val="es-PA"/>
        </w:rPr>
        <w:t xml:space="preserve">En esta línea de pensamiento se presenta el siguiente estudio en el que se intenta identificar los factores que explican la innovación en el sector productivo panameño (agroindustria alimentaria, agropecuario, empresas y </w:t>
      </w:r>
      <w:proofErr w:type="spellStart"/>
      <w:r w:rsidRPr="00471C4C">
        <w:rPr>
          <w:rFonts w:ascii="Cambria" w:hAnsi="Cambria" w:cs="Arial"/>
          <w:szCs w:val="24"/>
          <w:lang w:val="es-PA"/>
        </w:rPr>
        <w:t>PyME´s</w:t>
      </w:r>
      <w:proofErr w:type="spellEnd"/>
      <w:r w:rsidRPr="00471C4C">
        <w:rPr>
          <w:rFonts w:ascii="Cambria" w:hAnsi="Cambria" w:cs="Arial"/>
          <w:szCs w:val="24"/>
          <w:lang w:val="es-PA"/>
        </w:rPr>
        <w:t xml:space="preserve"> manufactureras y empresas en general) tomando en cuenta los trabajos teóricos y empíricos realizados en el tema a nivel nacional e internacional y analizando la situación específica de varias empresas en el ámbito panameño.   </w:t>
      </w:r>
    </w:p>
    <w:p w:rsidR="007553B3" w:rsidRPr="00066953" w:rsidRDefault="007553B3" w:rsidP="0076223B">
      <w:pPr>
        <w:pStyle w:val="Ttulo1"/>
        <w:numPr>
          <w:ilvl w:val="0"/>
          <w:numId w:val="2"/>
        </w:numPr>
        <w:spacing w:before="360" w:after="120"/>
        <w:rPr>
          <w:color w:val="auto"/>
          <w:sz w:val="24"/>
          <w:szCs w:val="24"/>
        </w:rPr>
      </w:pPr>
      <w:r w:rsidRPr="00066953">
        <w:rPr>
          <w:color w:val="auto"/>
          <w:sz w:val="24"/>
          <w:szCs w:val="24"/>
        </w:rPr>
        <w:t>I</w:t>
      </w:r>
      <w:r w:rsidR="00066953">
        <w:rPr>
          <w:color w:val="auto"/>
          <w:sz w:val="24"/>
          <w:szCs w:val="24"/>
        </w:rPr>
        <w:t>MPORTANCIA O JUSTIFICACIÓN DEL ESTUDIO</w:t>
      </w:r>
    </w:p>
    <w:p w:rsidR="00FF20BF" w:rsidRPr="00624845" w:rsidRDefault="007553B3" w:rsidP="007553B3">
      <w:pPr>
        <w:pStyle w:val="Sinespaciado"/>
        <w:rPr>
          <w:rFonts w:asciiTheme="majorHAnsi" w:hAnsiTheme="majorHAnsi"/>
          <w:sz w:val="22"/>
          <w:szCs w:val="22"/>
        </w:rPr>
      </w:pPr>
      <w:r w:rsidRPr="00FF20BF">
        <w:rPr>
          <w:rFonts w:asciiTheme="majorHAnsi" w:hAnsiTheme="majorHAnsi"/>
          <w:sz w:val="22"/>
          <w:szCs w:val="22"/>
        </w:rPr>
        <w:t xml:space="preserve">En las economías avanzadas el tema de innovación es tratado de forma exhaustiva  ya que lo consideran muy ligado a la productividad en las empresas. En los países con un alto nivel de desarrollo, existen investigaciones que identifican los factores que benefician o afectan la innovación en las empresas.  Asimismo, los resultados de </w:t>
      </w:r>
      <w:proofErr w:type="spellStart"/>
      <w:r w:rsidRPr="00FF20BF">
        <w:rPr>
          <w:rFonts w:asciiTheme="majorHAnsi" w:hAnsiTheme="majorHAnsi"/>
          <w:sz w:val="22"/>
          <w:szCs w:val="22"/>
        </w:rPr>
        <w:t>Crespi</w:t>
      </w:r>
      <w:proofErr w:type="spellEnd"/>
      <w:r w:rsidRPr="00FF20BF">
        <w:rPr>
          <w:rFonts w:asciiTheme="majorHAnsi" w:hAnsiTheme="majorHAnsi"/>
          <w:sz w:val="22"/>
          <w:szCs w:val="22"/>
        </w:rPr>
        <w:t xml:space="preserve">, </w:t>
      </w:r>
      <w:proofErr w:type="spellStart"/>
      <w:r w:rsidRPr="00FF20BF">
        <w:rPr>
          <w:rFonts w:asciiTheme="majorHAnsi" w:hAnsiTheme="majorHAnsi"/>
          <w:sz w:val="22"/>
          <w:szCs w:val="22"/>
        </w:rPr>
        <w:t>Tacsir</w:t>
      </w:r>
      <w:proofErr w:type="spellEnd"/>
      <w:r w:rsidRPr="00FF20BF">
        <w:rPr>
          <w:rFonts w:asciiTheme="majorHAnsi" w:hAnsiTheme="majorHAnsi"/>
          <w:sz w:val="22"/>
          <w:szCs w:val="22"/>
        </w:rPr>
        <w:t xml:space="preserve"> y Vargas (1)  demuestran claramente que los mecanismos que conducen a la innovación, así como los impactos de esta en el desempeño de las empresas, varían significativamente según las capacidades y características de las firmas. Por un lado, algunos factores (por ejemplo, el tamaño, la diversificación de productos y la inversión fija), más allá de los efectos sobre los aumentos de inversión en I+D, son determinantes clave de los resultados de la innovación en sí mismos. Por otro lado, la calidad del capital humano influye en la intensidad de la inversión en I+D, aunque no tiene un impacto significativo en el desempeño innovador de las empresas, lo que indica que existe una relación compleja entre capital humano e innovación.  A nivel nacional son escasos los estudios realizados sobre el tema por lo que es pertinente profundizar en los conceptos y experiencias relacionados con los factores que determinan la innovación en los sectores productivos para contribuir a la discusión, estudio y análisis que sobre este tópico se realiza a nivel nacional en el sector público y privado. </w:t>
      </w:r>
    </w:p>
    <w:p w:rsidR="007553B3" w:rsidRPr="00AF42B0" w:rsidRDefault="00066953" w:rsidP="0076223B">
      <w:pPr>
        <w:pStyle w:val="Ttulo1"/>
        <w:numPr>
          <w:ilvl w:val="0"/>
          <w:numId w:val="2"/>
        </w:numPr>
        <w:spacing w:before="360" w:after="120"/>
        <w:rPr>
          <w:color w:val="auto"/>
          <w:sz w:val="24"/>
          <w:szCs w:val="24"/>
        </w:rPr>
      </w:pPr>
      <w:r w:rsidRPr="00AF42B0">
        <w:rPr>
          <w:color w:val="auto"/>
          <w:sz w:val="24"/>
          <w:szCs w:val="24"/>
        </w:rPr>
        <w:t>O</w:t>
      </w:r>
      <w:r w:rsidR="00AF42B0" w:rsidRPr="00AF42B0">
        <w:rPr>
          <w:color w:val="auto"/>
          <w:sz w:val="24"/>
          <w:szCs w:val="24"/>
        </w:rPr>
        <w:t>BJETIVO PRINCIPAL</w:t>
      </w:r>
    </w:p>
    <w:p w:rsidR="007553B3" w:rsidRPr="00FF20BF" w:rsidRDefault="007553B3" w:rsidP="007553B3">
      <w:pPr>
        <w:pStyle w:val="Sinespaciado"/>
        <w:rPr>
          <w:rFonts w:asciiTheme="majorHAnsi" w:hAnsiTheme="majorHAnsi"/>
          <w:sz w:val="22"/>
          <w:szCs w:val="22"/>
        </w:rPr>
      </w:pPr>
      <w:r w:rsidRPr="00FF20BF">
        <w:rPr>
          <w:rFonts w:asciiTheme="majorHAnsi" w:hAnsiTheme="majorHAnsi"/>
          <w:sz w:val="22"/>
          <w:szCs w:val="22"/>
        </w:rPr>
        <w:t xml:space="preserve">Identificar los factores que  determinan la innovación en los sectores productivos de Panamá   </w:t>
      </w:r>
    </w:p>
    <w:p w:rsidR="007553B3" w:rsidRPr="00E6671F" w:rsidRDefault="007553B3" w:rsidP="0076223B">
      <w:pPr>
        <w:pStyle w:val="Ttulo1"/>
        <w:numPr>
          <w:ilvl w:val="0"/>
          <w:numId w:val="2"/>
        </w:numPr>
        <w:spacing w:before="360" w:after="120"/>
        <w:rPr>
          <w:color w:val="auto"/>
          <w:sz w:val="24"/>
          <w:szCs w:val="24"/>
        </w:rPr>
      </w:pPr>
      <w:r w:rsidRPr="00E6671F">
        <w:rPr>
          <w:color w:val="auto"/>
          <w:sz w:val="24"/>
          <w:szCs w:val="24"/>
        </w:rPr>
        <w:t>A</w:t>
      </w:r>
      <w:r w:rsidR="00E6671F" w:rsidRPr="00E6671F">
        <w:rPr>
          <w:color w:val="auto"/>
          <w:sz w:val="24"/>
          <w:szCs w:val="24"/>
        </w:rPr>
        <w:t>LCANCE</w:t>
      </w:r>
      <w:r w:rsidRPr="00E6671F">
        <w:rPr>
          <w:color w:val="auto"/>
          <w:sz w:val="24"/>
          <w:szCs w:val="24"/>
        </w:rPr>
        <w:t xml:space="preserve">, </w:t>
      </w:r>
      <w:r w:rsidR="00E6671F" w:rsidRPr="00E6671F">
        <w:rPr>
          <w:color w:val="auto"/>
          <w:sz w:val="24"/>
          <w:szCs w:val="24"/>
        </w:rPr>
        <w:t>COBERTURA Y DELIMITACIÓN DEL TRABAJO</w:t>
      </w:r>
      <w:r w:rsidRPr="00E6671F">
        <w:rPr>
          <w:color w:val="auto"/>
          <w:sz w:val="24"/>
          <w:szCs w:val="24"/>
        </w:rPr>
        <w:t xml:space="preserve">  </w:t>
      </w:r>
    </w:p>
    <w:p w:rsidR="002F1B9A" w:rsidRDefault="007553B3" w:rsidP="002F1B9A">
      <w:pPr>
        <w:spacing w:line="240" w:lineRule="auto"/>
        <w:jc w:val="both"/>
        <w:rPr>
          <w:rFonts w:asciiTheme="majorHAnsi" w:hAnsiTheme="majorHAnsi" w:cs="Arial"/>
          <w:szCs w:val="24"/>
          <w:lang w:val="es-PA"/>
        </w:rPr>
      </w:pPr>
      <w:r w:rsidRPr="002F1B9A">
        <w:rPr>
          <w:rFonts w:asciiTheme="majorHAnsi" w:hAnsiTheme="majorHAnsi"/>
        </w:rPr>
        <w:t>Las citas consultadas cubrieron investigaciones realizadas a nivel global y regional  del sector productivo</w:t>
      </w:r>
      <w:r w:rsidR="00FD58CA">
        <w:rPr>
          <w:rFonts w:asciiTheme="majorHAnsi" w:hAnsiTheme="majorHAnsi"/>
        </w:rPr>
        <w:t>;</w:t>
      </w:r>
      <w:r w:rsidRPr="002F1B9A">
        <w:rPr>
          <w:rFonts w:asciiTheme="majorHAnsi" w:hAnsiTheme="majorHAnsi"/>
        </w:rPr>
        <w:t xml:space="preserve"> y se abordó a través de estudios de casos</w:t>
      </w:r>
      <w:r w:rsidR="00E3565D">
        <w:rPr>
          <w:rFonts w:asciiTheme="majorHAnsi" w:hAnsiTheme="majorHAnsi"/>
        </w:rPr>
        <w:t>,</w:t>
      </w:r>
      <w:r w:rsidRPr="002F1B9A">
        <w:rPr>
          <w:rFonts w:asciiTheme="majorHAnsi" w:hAnsiTheme="majorHAnsi"/>
        </w:rPr>
        <w:t xml:space="preserve"> los factores </w:t>
      </w:r>
      <w:r w:rsidR="002F1B9A" w:rsidRPr="002F1B9A">
        <w:rPr>
          <w:rFonts w:asciiTheme="majorHAnsi" w:hAnsiTheme="majorHAnsi" w:cs="Arial"/>
          <w:szCs w:val="24"/>
          <w:lang w:val="es-PA"/>
        </w:rPr>
        <w:t xml:space="preserve">que determinan la innovación en las agroindustrias alimentarias de Panamá. </w:t>
      </w:r>
    </w:p>
    <w:p w:rsidR="00B31D8D" w:rsidRPr="00B31D8D" w:rsidRDefault="00B31D8D" w:rsidP="0076223B">
      <w:pPr>
        <w:pStyle w:val="Ttulo1"/>
        <w:numPr>
          <w:ilvl w:val="0"/>
          <w:numId w:val="2"/>
        </w:numPr>
        <w:spacing w:before="360" w:after="120"/>
        <w:rPr>
          <w:rFonts w:cs="Arial"/>
          <w:color w:val="auto"/>
          <w:sz w:val="24"/>
          <w:szCs w:val="24"/>
          <w:lang w:val="es-PA"/>
        </w:rPr>
      </w:pPr>
      <w:bookmarkStart w:id="1" w:name="_Toc461781085"/>
      <w:r w:rsidRPr="00B31D8D">
        <w:rPr>
          <w:rFonts w:cs="Arial"/>
          <w:color w:val="auto"/>
          <w:sz w:val="24"/>
          <w:szCs w:val="24"/>
          <w:lang w:val="es-PA"/>
        </w:rPr>
        <w:t>HIPÓTESIS GENERAL</w:t>
      </w:r>
      <w:bookmarkEnd w:id="1"/>
    </w:p>
    <w:p w:rsidR="00B31D8D" w:rsidRPr="00B31D8D" w:rsidRDefault="00B31D8D" w:rsidP="00B31D8D">
      <w:pPr>
        <w:spacing w:line="240" w:lineRule="auto"/>
        <w:jc w:val="both"/>
        <w:rPr>
          <w:rFonts w:asciiTheme="majorHAnsi" w:hAnsiTheme="majorHAnsi" w:cs="Arial"/>
          <w:strike/>
          <w:color w:val="FF0000"/>
          <w:szCs w:val="24"/>
          <w:lang w:val="es-PA"/>
        </w:rPr>
      </w:pPr>
      <w:r w:rsidRPr="00B31D8D">
        <w:rPr>
          <w:rFonts w:asciiTheme="majorHAnsi" w:hAnsiTheme="majorHAnsi" w:cs="Arial"/>
          <w:szCs w:val="24"/>
          <w:lang w:val="es-PA"/>
        </w:rPr>
        <w:t xml:space="preserve">Los principales factores que determinan la innovación en las empresas del sector productivo son los siguientes: </w:t>
      </w:r>
      <w:r w:rsidRPr="00B31D8D">
        <w:rPr>
          <w:rFonts w:asciiTheme="majorHAnsi" w:hAnsiTheme="majorHAnsi" w:cs="Arial"/>
          <w:szCs w:val="24"/>
        </w:rPr>
        <w:t xml:space="preserve">inversión en I+D, demanda del mercado, existencia de vínculos con entidades públicas y privadas de investigación, enseñanza y servicios, tamaño de la empresa y políticas de incentivo. </w:t>
      </w:r>
      <w:r w:rsidRPr="00B31D8D">
        <w:rPr>
          <w:rFonts w:asciiTheme="majorHAnsi" w:hAnsiTheme="majorHAnsi" w:cs="Arial"/>
          <w:szCs w:val="24"/>
          <w:lang w:val="es-PA"/>
        </w:rPr>
        <w:t xml:space="preserve"> </w:t>
      </w:r>
    </w:p>
    <w:p w:rsidR="00B31D8D" w:rsidRPr="00B31D8D" w:rsidRDefault="00B31D8D" w:rsidP="0076223B">
      <w:pPr>
        <w:pStyle w:val="Ttulo1"/>
        <w:numPr>
          <w:ilvl w:val="0"/>
          <w:numId w:val="2"/>
        </w:numPr>
        <w:spacing w:before="360" w:after="120"/>
        <w:rPr>
          <w:rFonts w:cs="Arial"/>
          <w:color w:val="auto"/>
          <w:sz w:val="24"/>
          <w:szCs w:val="24"/>
          <w:lang w:val="es-PA"/>
        </w:rPr>
      </w:pPr>
      <w:r w:rsidRPr="00B31D8D">
        <w:rPr>
          <w:rFonts w:cs="Arial"/>
          <w:color w:val="auto"/>
          <w:sz w:val="24"/>
          <w:szCs w:val="24"/>
          <w:lang w:val="es-PA"/>
        </w:rPr>
        <w:t>METODOLOGÍA</w:t>
      </w:r>
    </w:p>
    <w:p w:rsidR="00B31D8D" w:rsidRPr="00B31D8D" w:rsidRDefault="00B31D8D" w:rsidP="005F6B56">
      <w:pPr>
        <w:spacing w:after="120" w:line="240" w:lineRule="auto"/>
        <w:jc w:val="both"/>
        <w:rPr>
          <w:rFonts w:asciiTheme="majorHAnsi" w:hAnsiTheme="majorHAnsi" w:cs="Arial"/>
          <w:szCs w:val="24"/>
          <w:lang w:val="es-PA"/>
        </w:rPr>
      </w:pPr>
      <w:r w:rsidRPr="00B31D8D">
        <w:rPr>
          <w:rFonts w:asciiTheme="majorHAnsi" w:hAnsiTheme="majorHAnsi" w:cs="Arial"/>
          <w:szCs w:val="24"/>
          <w:lang w:val="es-PA"/>
        </w:rPr>
        <w:t xml:space="preserve">Se seleccionaron, clasificaron y consultaron estudios de casos y/o investigaciones realizadas relacionadas con el proceso de innovación en empresas del sector productivo (agroindustria alimentaria y no alimentaria, agropecuario, industria </w:t>
      </w:r>
      <w:r w:rsidRPr="0095784C">
        <w:rPr>
          <w:rFonts w:asciiTheme="majorHAnsi" w:hAnsiTheme="majorHAnsi" w:cs="Arial"/>
          <w:szCs w:val="24"/>
          <w:lang w:val="es-PA"/>
        </w:rPr>
        <w:t xml:space="preserve">manufacturera y empresas en general) de </w:t>
      </w:r>
      <w:r w:rsidRPr="0095784C">
        <w:rPr>
          <w:rFonts w:asciiTheme="majorHAnsi" w:hAnsiTheme="majorHAnsi" w:cs="Arial"/>
          <w:szCs w:val="24"/>
          <w:lang w:val="es-PA"/>
        </w:rPr>
        <w:lastRenderedPageBreak/>
        <w:t>distintos países, utilizando la plataforma ABC (</w:t>
      </w:r>
      <w:hyperlink r:id="rId8" w:history="1">
        <w:r w:rsidRPr="0095784C">
          <w:rPr>
            <w:rStyle w:val="Hipervnculo"/>
            <w:rFonts w:asciiTheme="majorHAnsi" w:hAnsiTheme="majorHAnsi" w:cs="Arial"/>
            <w:color w:val="auto"/>
            <w:szCs w:val="24"/>
            <w:lang w:val="es-PA"/>
          </w:rPr>
          <w:t>www.abcpanama.org.pa</w:t>
        </w:r>
      </w:hyperlink>
      <w:r w:rsidRPr="0095784C">
        <w:rPr>
          <w:rFonts w:asciiTheme="majorHAnsi" w:hAnsiTheme="majorHAnsi" w:cs="Arial"/>
          <w:szCs w:val="24"/>
          <w:lang w:val="es-PA"/>
        </w:rPr>
        <w:t xml:space="preserve">). </w:t>
      </w:r>
      <w:r w:rsidRPr="00B31D8D">
        <w:rPr>
          <w:rFonts w:asciiTheme="majorHAnsi" w:hAnsiTheme="majorHAnsi" w:cs="Arial"/>
          <w:szCs w:val="24"/>
          <w:lang w:val="es-PA"/>
        </w:rPr>
        <w:t xml:space="preserve">Siguiendo el método de análisis y síntesis, se examinaron los factores o determinantes que inducen a innovar en las empresas de los subsectores mencionados. También se consultaron y analizaron los pocos estudios elaborados a nivel nacional sobre el tema tratado. </w:t>
      </w:r>
    </w:p>
    <w:p w:rsidR="00B31D8D" w:rsidRPr="00B31D8D" w:rsidRDefault="00B31D8D" w:rsidP="005F6B56">
      <w:pPr>
        <w:spacing w:after="120" w:line="240" w:lineRule="auto"/>
        <w:jc w:val="both"/>
        <w:rPr>
          <w:rFonts w:asciiTheme="majorHAnsi" w:hAnsiTheme="majorHAnsi" w:cs="Arial"/>
          <w:szCs w:val="24"/>
          <w:lang w:val="es-PA"/>
        </w:rPr>
      </w:pPr>
      <w:r w:rsidRPr="00B31D8D">
        <w:rPr>
          <w:rFonts w:asciiTheme="majorHAnsi" w:hAnsiTheme="majorHAnsi" w:cs="Arial"/>
          <w:szCs w:val="24"/>
          <w:lang w:val="es-PA"/>
        </w:rPr>
        <w:t>Se analizó la base de datos existente en el C</w:t>
      </w:r>
      <w:r w:rsidR="005910FF">
        <w:rPr>
          <w:rFonts w:asciiTheme="majorHAnsi" w:hAnsiTheme="majorHAnsi" w:cs="Arial"/>
          <w:szCs w:val="24"/>
          <w:lang w:val="es-PA"/>
        </w:rPr>
        <w:t>entro de Producción e Investigaciones Agroindustriales (C</w:t>
      </w:r>
      <w:r w:rsidRPr="00B31D8D">
        <w:rPr>
          <w:rFonts w:asciiTheme="majorHAnsi" w:hAnsiTheme="majorHAnsi" w:cs="Arial"/>
          <w:szCs w:val="24"/>
          <w:lang w:val="es-PA"/>
        </w:rPr>
        <w:t>EPIA</w:t>
      </w:r>
      <w:r w:rsidR="005910FF">
        <w:rPr>
          <w:rFonts w:asciiTheme="majorHAnsi" w:hAnsiTheme="majorHAnsi" w:cs="Arial"/>
          <w:szCs w:val="24"/>
          <w:lang w:val="es-PA"/>
        </w:rPr>
        <w:t>)</w:t>
      </w:r>
      <w:r w:rsidRPr="00B31D8D">
        <w:rPr>
          <w:rFonts w:asciiTheme="majorHAnsi" w:hAnsiTheme="majorHAnsi" w:cs="Arial"/>
          <w:szCs w:val="24"/>
          <w:lang w:val="es-PA"/>
        </w:rPr>
        <w:t xml:space="preserve"> de encuesta realizada en el 2013 a 273 empresas de la agroindustria alimentaria de Panamá. Se realizaron cruce</w:t>
      </w:r>
      <w:r w:rsidR="005910FF">
        <w:rPr>
          <w:rFonts w:asciiTheme="majorHAnsi" w:hAnsiTheme="majorHAnsi" w:cs="Arial"/>
          <w:szCs w:val="24"/>
          <w:lang w:val="es-PA"/>
        </w:rPr>
        <w:t>s</w:t>
      </w:r>
      <w:r w:rsidRPr="00B31D8D">
        <w:rPr>
          <w:rFonts w:asciiTheme="majorHAnsi" w:hAnsiTheme="majorHAnsi" w:cs="Arial"/>
          <w:szCs w:val="24"/>
          <w:lang w:val="es-PA"/>
        </w:rPr>
        <w:t xml:space="preserve"> de variables (tamaño de empresas, provincia, tipo de innovación, periodo de adopción, entre otras) en aquellas preguntas relacionadas con la innovación en las empresas (n=172 empresas), </w:t>
      </w:r>
      <w:r w:rsidR="005910FF">
        <w:rPr>
          <w:rFonts w:asciiTheme="majorHAnsi" w:hAnsiTheme="majorHAnsi" w:cs="Arial"/>
          <w:szCs w:val="24"/>
          <w:lang w:val="es-PA"/>
        </w:rPr>
        <w:t>utilizando</w:t>
      </w:r>
      <w:r w:rsidRPr="00B31D8D">
        <w:rPr>
          <w:rFonts w:asciiTheme="majorHAnsi" w:hAnsiTheme="majorHAnsi" w:cs="Arial"/>
          <w:szCs w:val="24"/>
          <w:lang w:val="es-PA"/>
        </w:rPr>
        <w:t xml:space="preserve"> el programa SPSS.</w:t>
      </w:r>
    </w:p>
    <w:p w:rsidR="00B31D8D" w:rsidRPr="00B31D8D" w:rsidRDefault="00B31D8D" w:rsidP="00B31D8D">
      <w:pPr>
        <w:spacing w:line="240" w:lineRule="auto"/>
        <w:jc w:val="both"/>
        <w:rPr>
          <w:rFonts w:asciiTheme="majorHAnsi" w:hAnsiTheme="majorHAnsi"/>
          <w:lang w:val="es-PA" w:eastAsia="es-ES"/>
        </w:rPr>
      </w:pPr>
      <w:r w:rsidRPr="00B31D8D">
        <w:rPr>
          <w:rFonts w:asciiTheme="majorHAnsi" w:hAnsiTheme="majorHAnsi" w:cs="Arial"/>
          <w:szCs w:val="24"/>
          <w:lang w:val="es-PA"/>
        </w:rPr>
        <w:t>Con el fin de tener una perspectiva de las agroindustrias alimentarias en Panamá se realizaron estudios de casos en 4</w:t>
      </w:r>
      <w:r w:rsidRPr="00B31D8D">
        <w:rPr>
          <w:rFonts w:asciiTheme="majorHAnsi" w:hAnsiTheme="majorHAnsi" w:cs="Arial"/>
          <w:color w:val="FF0000"/>
          <w:szCs w:val="24"/>
          <w:lang w:val="es-PA"/>
        </w:rPr>
        <w:t xml:space="preserve"> </w:t>
      </w:r>
      <w:r w:rsidRPr="00B31D8D">
        <w:rPr>
          <w:rFonts w:asciiTheme="majorHAnsi" w:hAnsiTheme="majorHAnsi" w:cs="Arial"/>
          <w:szCs w:val="24"/>
          <w:lang w:val="es-PA"/>
        </w:rPr>
        <w:t>empresas del sector para profundizar y conocer los factores que determinan o afectan la innovación.</w:t>
      </w:r>
    </w:p>
    <w:p w:rsidR="005C302A" w:rsidRDefault="002F1B9A" w:rsidP="00357DC3">
      <w:pPr>
        <w:pStyle w:val="Ttulo1"/>
        <w:numPr>
          <w:ilvl w:val="0"/>
          <w:numId w:val="2"/>
        </w:numPr>
        <w:spacing w:before="360" w:after="120"/>
        <w:rPr>
          <w:rFonts w:cs="Arial"/>
          <w:color w:val="auto"/>
          <w:sz w:val="24"/>
          <w:szCs w:val="24"/>
          <w:lang w:val="es-PA"/>
        </w:rPr>
      </w:pPr>
      <w:r w:rsidRPr="00B31D8D">
        <w:rPr>
          <w:rFonts w:cs="Arial"/>
          <w:color w:val="auto"/>
          <w:sz w:val="24"/>
          <w:szCs w:val="24"/>
          <w:lang w:val="es-PA"/>
        </w:rPr>
        <w:t>RESULTADOS</w:t>
      </w:r>
      <w:bookmarkStart w:id="2" w:name="_Toc461781089"/>
    </w:p>
    <w:p w:rsidR="00A359C1" w:rsidRDefault="00A359C1" w:rsidP="00357DC3">
      <w:pPr>
        <w:pStyle w:val="Ttulo2"/>
        <w:numPr>
          <w:ilvl w:val="0"/>
          <w:numId w:val="13"/>
        </w:numPr>
        <w:spacing w:before="240" w:after="120"/>
        <w:rPr>
          <w:rFonts w:ascii="Cambria" w:hAnsi="Cambria" w:cs="Arial"/>
          <w:color w:val="auto"/>
          <w:sz w:val="24"/>
          <w:szCs w:val="24"/>
          <w:lang w:val="es-PA"/>
        </w:rPr>
      </w:pPr>
      <w:bookmarkStart w:id="3" w:name="_Toc461781088"/>
      <w:r w:rsidRPr="00A359C1">
        <w:rPr>
          <w:rFonts w:ascii="Cambria" w:hAnsi="Cambria" w:cs="Arial"/>
          <w:color w:val="auto"/>
          <w:sz w:val="24"/>
          <w:szCs w:val="24"/>
          <w:lang w:val="es-PA"/>
        </w:rPr>
        <w:t xml:space="preserve">Principales determinantes de la innovación </w:t>
      </w:r>
      <w:r w:rsidRPr="00A359C1">
        <w:rPr>
          <w:rFonts w:ascii="Cambria" w:hAnsi="Cambria" w:cs="Arial"/>
          <w:color w:val="auto"/>
          <w:sz w:val="24"/>
          <w:szCs w:val="24"/>
        </w:rPr>
        <w:t>en los sectores productivos</w:t>
      </w:r>
      <w:bookmarkEnd w:id="3"/>
      <w:r w:rsidRPr="00A359C1">
        <w:rPr>
          <w:rFonts w:ascii="Cambria" w:hAnsi="Cambria" w:cs="Arial"/>
          <w:color w:val="auto"/>
          <w:sz w:val="24"/>
          <w:szCs w:val="24"/>
          <w:lang w:val="es-PA"/>
        </w:rPr>
        <w:t xml:space="preserve"> </w:t>
      </w:r>
      <w:r w:rsidR="00913699">
        <w:rPr>
          <w:rFonts w:ascii="Cambria" w:hAnsi="Cambria" w:cs="Arial"/>
          <w:color w:val="auto"/>
          <w:sz w:val="24"/>
          <w:szCs w:val="24"/>
          <w:lang w:val="es-PA"/>
        </w:rPr>
        <w:t>según la literatura consultada:</w:t>
      </w:r>
    </w:p>
    <w:p w:rsidR="007C1094" w:rsidRDefault="007C1094" w:rsidP="00357DC3">
      <w:pPr>
        <w:pStyle w:val="Prrafodelista"/>
        <w:numPr>
          <w:ilvl w:val="0"/>
          <w:numId w:val="14"/>
        </w:numPr>
        <w:spacing w:after="120" w:line="240" w:lineRule="auto"/>
        <w:rPr>
          <w:rFonts w:asciiTheme="majorHAnsi" w:hAnsiTheme="majorHAnsi"/>
          <w:lang w:val="es-PA"/>
        </w:rPr>
      </w:pPr>
      <w:r>
        <w:rPr>
          <w:rFonts w:asciiTheme="majorHAnsi" w:hAnsiTheme="majorHAnsi"/>
          <w:lang w:val="es-PA"/>
        </w:rPr>
        <w:t>Habilidades de la fuerza laboral</w:t>
      </w:r>
    </w:p>
    <w:p w:rsidR="007C1094" w:rsidRDefault="007C1094" w:rsidP="00357DC3">
      <w:pPr>
        <w:pStyle w:val="Prrafodelista"/>
        <w:numPr>
          <w:ilvl w:val="0"/>
          <w:numId w:val="14"/>
        </w:numPr>
        <w:spacing w:after="120" w:line="240" w:lineRule="auto"/>
        <w:rPr>
          <w:rFonts w:asciiTheme="majorHAnsi" w:hAnsiTheme="majorHAnsi"/>
          <w:lang w:val="es-PA"/>
        </w:rPr>
      </w:pPr>
      <w:r>
        <w:rPr>
          <w:rFonts w:asciiTheme="majorHAnsi" w:hAnsiTheme="majorHAnsi"/>
          <w:lang w:val="es-PA"/>
        </w:rPr>
        <w:t>Inversión en conocimientos técnicos</w:t>
      </w:r>
    </w:p>
    <w:p w:rsidR="007C1094" w:rsidRDefault="007C1094" w:rsidP="00357DC3">
      <w:pPr>
        <w:pStyle w:val="Prrafodelista"/>
        <w:numPr>
          <w:ilvl w:val="0"/>
          <w:numId w:val="14"/>
        </w:numPr>
        <w:spacing w:after="120" w:line="240" w:lineRule="auto"/>
        <w:ind w:left="714" w:hanging="357"/>
        <w:rPr>
          <w:rFonts w:asciiTheme="majorHAnsi" w:hAnsiTheme="majorHAnsi"/>
          <w:lang w:val="es-PA"/>
        </w:rPr>
      </w:pPr>
      <w:r>
        <w:rPr>
          <w:rFonts w:asciiTheme="majorHAnsi" w:hAnsiTheme="majorHAnsi"/>
          <w:lang w:val="es-PA"/>
        </w:rPr>
        <w:t>Fuerte orientación de la empresa al mercado</w:t>
      </w:r>
    </w:p>
    <w:p w:rsidR="007C1094" w:rsidRDefault="007C1094" w:rsidP="00357DC3">
      <w:pPr>
        <w:pStyle w:val="Prrafodelista"/>
        <w:numPr>
          <w:ilvl w:val="0"/>
          <w:numId w:val="14"/>
        </w:numPr>
        <w:spacing w:after="120" w:line="240" w:lineRule="auto"/>
        <w:rPr>
          <w:rFonts w:asciiTheme="majorHAnsi" w:hAnsiTheme="majorHAnsi"/>
          <w:lang w:val="es-PA"/>
        </w:rPr>
      </w:pPr>
      <w:r>
        <w:rPr>
          <w:rFonts w:asciiTheme="majorHAnsi" w:hAnsiTheme="majorHAnsi"/>
          <w:lang w:val="es-PA"/>
        </w:rPr>
        <w:t>Tener condiciones organizativas</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 xml:space="preserve">Subsidios a la innovación </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Colaboración en red de las empresas</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Proveedores  y empresas competidoras como fuente de información</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Innovación en I+D</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Inversión en activos innovadores</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Alianzas externas</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Fortalecimiento de la cooperación y la eficiencia</w:t>
      </w:r>
    </w:p>
    <w:p w:rsidR="007C1094"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lang w:val="es-PA"/>
        </w:rPr>
        <w:t>Importancia de las redes para el intercambio de conocimientos</w:t>
      </w:r>
    </w:p>
    <w:p w:rsidR="007C1094" w:rsidRPr="00AF1CF7"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cs="Arial"/>
          <w:szCs w:val="24"/>
          <w:lang w:val="es-PA"/>
        </w:rPr>
        <w:t>O</w:t>
      </w:r>
      <w:r w:rsidRPr="00AF1CF7">
        <w:rPr>
          <w:rFonts w:asciiTheme="majorHAnsi" w:hAnsiTheme="majorHAnsi" w:cs="Arial"/>
          <w:szCs w:val="24"/>
          <w:lang w:val="es-PA"/>
        </w:rPr>
        <w:t xml:space="preserve">rganización de las empresas en </w:t>
      </w:r>
      <w:proofErr w:type="spellStart"/>
      <w:r w:rsidRPr="00AF1CF7">
        <w:rPr>
          <w:rFonts w:asciiTheme="majorHAnsi" w:hAnsiTheme="majorHAnsi" w:cs="Arial"/>
          <w:szCs w:val="24"/>
          <w:lang w:val="es-PA"/>
        </w:rPr>
        <w:t>clusters</w:t>
      </w:r>
      <w:proofErr w:type="spellEnd"/>
    </w:p>
    <w:p w:rsidR="007C1094" w:rsidRPr="00AF1CF7"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cs="Arial"/>
          <w:szCs w:val="24"/>
          <w:lang w:val="es-PA"/>
        </w:rPr>
        <w:t>C</w:t>
      </w:r>
      <w:r w:rsidRPr="00AF1CF7">
        <w:rPr>
          <w:rFonts w:asciiTheme="majorHAnsi" w:hAnsiTheme="majorHAnsi" w:cs="Arial"/>
          <w:szCs w:val="24"/>
          <w:lang w:val="es-PA"/>
        </w:rPr>
        <w:t>apacidad para la absorción y adopción de conocimiento científico</w:t>
      </w:r>
    </w:p>
    <w:p w:rsidR="007C1094" w:rsidRPr="00AF1CF7" w:rsidRDefault="007C1094" w:rsidP="00357DC3">
      <w:pPr>
        <w:pStyle w:val="Prrafodelista"/>
        <w:numPr>
          <w:ilvl w:val="0"/>
          <w:numId w:val="14"/>
        </w:numPr>
        <w:spacing w:after="120" w:line="240" w:lineRule="auto"/>
        <w:rPr>
          <w:rFonts w:asciiTheme="majorHAnsi" w:hAnsiTheme="majorHAnsi"/>
          <w:lang w:val="es-PA"/>
        </w:rPr>
      </w:pPr>
      <w:r>
        <w:rPr>
          <w:rFonts w:asciiTheme="majorHAnsi" w:hAnsiTheme="majorHAnsi" w:cs="Arial"/>
          <w:szCs w:val="24"/>
          <w:lang w:val="es-PA"/>
        </w:rPr>
        <w:t>C</w:t>
      </w:r>
      <w:r w:rsidRPr="00AF1CF7">
        <w:rPr>
          <w:rFonts w:asciiTheme="majorHAnsi" w:hAnsiTheme="majorHAnsi" w:cs="Arial"/>
          <w:szCs w:val="24"/>
          <w:lang w:val="es-PA"/>
        </w:rPr>
        <w:t>olaboración de instituciones públicas de investigación</w:t>
      </w:r>
    </w:p>
    <w:p w:rsidR="007C1094" w:rsidRPr="00AF1CF7" w:rsidRDefault="007C1094" w:rsidP="007C1094">
      <w:pPr>
        <w:pStyle w:val="Prrafodelista"/>
        <w:numPr>
          <w:ilvl w:val="0"/>
          <w:numId w:val="14"/>
        </w:numPr>
        <w:rPr>
          <w:rFonts w:asciiTheme="majorHAnsi" w:hAnsiTheme="majorHAnsi" w:cs="Arial"/>
          <w:szCs w:val="24"/>
          <w:lang w:val="es-PA"/>
        </w:rPr>
      </w:pPr>
      <w:r>
        <w:rPr>
          <w:rFonts w:asciiTheme="majorHAnsi" w:hAnsiTheme="majorHAnsi" w:cs="Arial"/>
          <w:szCs w:val="24"/>
          <w:lang w:val="es-PA"/>
        </w:rPr>
        <w:t>R</w:t>
      </w:r>
      <w:r w:rsidRPr="00AF1CF7">
        <w:rPr>
          <w:rFonts w:asciiTheme="majorHAnsi" w:hAnsiTheme="majorHAnsi" w:cs="Arial"/>
          <w:szCs w:val="24"/>
          <w:lang w:val="es-PA"/>
        </w:rPr>
        <w:t>ecursos y personal espe</w:t>
      </w:r>
      <w:r>
        <w:rPr>
          <w:rFonts w:asciiTheme="majorHAnsi" w:hAnsiTheme="majorHAnsi" w:cs="Arial"/>
          <w:szCs w:val="24"/>
          <w:lang w:val="es-PA"/>
        </w:rPr>
        <w:t>cializado en actividades de I+D en la empresa</w:t>
      </w:r>
    </w:p>
    <w:p w:rsidR="007C1094" w:rsidRPr="00AF1CF7"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cs="Arial"/>
          <w:szCs w:val="24"/>
          <w:lang w:val="es-PA"/>
        </w:rPr>
        <w:t>I</w:t>
      </w:r>
      <w:r w:rsidRPr="00AF1CF7">
        <w:rPr>
          <w:rFonts w:asciiTheme="majorHAnsi" w:hAnsiTheme="majorHAnsi" w:cs="Arial"/>
          <w:szCs w:val="24"/>
          <w:lang w:val="es-PA"/>
        </w:rPr>
        <w:t xml:space="preserve">nteracciones y relaciones entre los interesados de la industria </w:t>
      </w:r>
      <w:r w:rsidR="00EA630A">
        <w:rPr>
          <w:rFonts w:asciiTheme="majorHAnsi" w:hAnsiTheme="majorHAnsi" w:cs="Arial"/>
          <w:szCs w:val="24"/>
          <w:lang w:val="es-PA"/>
        </w:rPr>
        <w:t>(</w:t>
      </w:r>
      <w:r w:rsidRPr="00AF1CF7">
        <w:rPr>
          <w:rFonts w:asciiTheme="majorHAnsi" w:hAnsiTheme="majorHAnsi" w:cs="Arial"/>
          <w:szCs w:val="24"/>
          <w:lang w:val="es-PA"/>
        </w:rPr>
        <w:t>alimentaria</w:t>
      </w:r>
      <w:r w:rsidR="00EA630A">
        <w:rPr>
          <w:rFonts w:asciiTheme="majorHAnsi" w:hAnsiTheme="majorHAnsi" w:cs="Arial"/>
          <w:szCs w:val="24"/>
          <w:lang w:val="es-PA"/>
        </w:rPr>
        <w:t>)</w:t>
      </w:r>
    </w:p>
    <w:p w:rsidR="007C1094" w:rsidRPr="00AF1CF7" w:rsidRDefault="007C1094" w:rsidP="007C1094">
      <w:pPr>
        <w:pStyle w:val="Prrafodelista"/>
        <w:numPr>
          <w:ilvl w:val="0"/>
          <w:numId w:val="14"/>
        </w:numPr>
        <w:rPr>
          <w:rFonts w:asciiTheme="majorHAnsi" w:hAnsiTheme="majorHAnsi" w:cs="Arial"/>
          <w:szCs w:val="24"/>
          <w:lang w:val="es-PA"/>
        </w:rPr>
      </w:pPr>
      <w:r>
        <w:rPr>
          <w:rFonts w:asciiTheme="majorHAnsi" w:hAnsiTheme="majorHAnsi" w:cs="Arial"/>
          <w:szCs w:val="24"/>
          <w:lang w:val="es-PA"/>
        </w:rPr>
        <w:t>P</w:t>
      </w:r>
      <w:r w:rsidRPr="00AF1CF7">
        <w:rPr>
          <w:rFonts w:asciiTheme="majorHAnsi" w:hAnsiTheme="majorHAnsi" w:cs="Arial"/>
          <w:szCs w:val="24"/>
          <w:lang w:val="es-PA"/>
        </w:rPr>
        <w:t>olí</w:t>
      </w:r>
      <w:r>
        <w:rPr>
          <w:rFonts w:asciiTheme="majorHAnsi" w:hAnsiTheme="majorHAnsi" w:cs="Arial"/>
          <w:szCs w:val="24"/>
          <w:lang w:val="es-PA"/>
        </w:rPr>
        <w:t>ticas de desarrollo que promueve</w:t>
      </w:r>
      <w:r w:rsidRPr="00AF1CF7">
        <w:rPr>
          <w:rFonts w:asciiTheme="majorHAnsi" w:hAnsiTheme="majorHAnsi" w:cs="Arial"/>
          <w:szCs w:val="24"/>
          <w:lang w:val="es-PA"/>
        </w:rPr>
        <w:t>n vínculos más estrechos entre las</w:t>
      </w:r>
      <w:r>
        <w:rPr>
          <w:rFonts w:asciiTheme="majorHAnsi" w:hAnsiTheme="majorHAnsi" w:cs="Arial"/>
          <w:szCs w:val="24"/>
          <w:lang w:val="es-PA"/>
        </w:rPr>
        <w:t xml:space="preserve"> empresas,  </w:t>
      </w:r>
      <w:r w:rsidRPr="00AF1CF7">
        <w:rPr>
          <w:rFonts w:asciiTheme="majorHAnsi" w:hAnsiTheme="majorHAnsi" w:cs="Arial"/>
          <w:szCs w:val="24"/>
          <w:lang w:val="es-PA"/>
        </w:rPr>
        <w:t>laboratori</w:t>
      </w:r>
      <w:r w:rsidR="00357DC3">
        <w:rPr>
          <w:rFonts w:asciiTheme="majorHAnsi" w:hAnsiTheme="majorHAnsi" w:cs="Arial"/>
          <w:szCs w:val="24"/>
          <w:lang w:val="es-PA"/>
        </w:rPr>
        <w:t>os del gobierno y universidades</w:t>
      </w:r>
    </w:p>
    <w:p w:rsidR="007C1094" w:rsidRPr="00AF1CF7" w:rsidRDefault="007C1094" w:rsidP="007C1094">
      <w:pPr>
        <w:pStyle w:val="Prrafodelista"/>
        <w:numPr>
          <w:ilvl w:val="0"/>
          <w:numId w:val="14"/>
        </w:numPr>
        <w:rPr>
          <w:rFonts w:asciiTheme="majorHAnsi" w:hAnsiTheme="majorHAnsi" w:cs="Arial"/>
          <w:szCs w:val="24"/>
          <w:lang w:val="es-PA"/>
        </w:rPr>
      </w:pPr>
      <w:r>
        <w:rPr>
          <w:rFonts w:asciiTheme="majorHAnsi" w:hAnsiTheme="majorHAnsi" w:cs="Arial"/>
          <w:szCs w:val="24"/>
          <w:lang w:val="es-PA"/>
        </w:rPr>
        <w:t>C</w:t>
      </w:r>
      <w:r w:rsidRPr="00AF1CF7">
        <w:rPr>
          <w:rFonts w:asciiTheme="majorHAnsi" w:hAnsiTheme="majorHAnsi" w:cs="Arial"/>
          <w:szCs w:val="24"/>
          <w:lang w:val="es-PA"/>
        </w:rPr>
        <w:t>ultura empresarial centrada en el consumidor  mediante la aplicación de la intervención adecuada de los consumidores en todo el proceso de innovación</w:t>
      </w:r>
    </w:p>
    <w:p w:rsidR="007C1094" w:rsidRPr="00AF1CF7"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cs="Arial"/>
          <w:szCs w:val="24"/>
          <w:lang w:val="es-PA"/>
        </w:rPr>
        <w:t>C</w:t>
      </w:r>
      <w:r w:rsidRPr="00AF1CF7">
        <w:rPr>
          <w:rFonts w:asciiTheme="majorHAnsi" w:hAnsiTheme="majorHAnsi" w:cs="Arial"/>
          <w:szCs w:val="24"/>
          <w:lang w:val="es-PA"/>
        </w:rPr>
        <w:t xml:space="preserve">olaboraciones de I + D con los clientes, universidades,  proveedores y  competidores </w:t>
      </w:r>
    </w:p>
    <w:p w:rsidR="007C1094" w:rsidRPr="00AF1CF7" w:rsidRDefault="007C1094" w:rsidP="007C1094">
      <w:pPr>
        <w:pStyle w:val="Prrafodelista"/>
        <w:numPr>
          <w:ilvl w:val="0"/>
          <w:numId w:val="14"/>
        </w:numPr>
        <w:spacing w:line="240" w:lineRule="auto"/>
        <w:rPr>
          <w:rFonts w:asciiTheme="majorHAnsi" w:hAnsiTheme="majorHAnsi"/>
          <w:lang w:val="es-PA"/>
        </w:rPr>
      </w:pPr>
      <w:r>
        <w:rPr>
          <w:rFonts w:asciiTheme="majorHAnsi" w:hAnsiTheme="majorHAnsi" w:cs="Arial"/>
          <w:szCs w:val="24"/>
          <w:lang w:val="es-PA"/>
        </w:rPr>
        <w:t>I</w:t>
      </w:r>
      <w:r w:rsidRPr="00AF1CF7">
        <w:rPr>
          <w:rFonts w:asciiTheme="majorHAnsi" w:hAnsiTheme="majorHAnsi" w:cs="Arial"/>
          <w:szCs w:val="24"/>
          <w:lang w:val="es-PA"/>
        </w:rPr>
        <w:t>nteracción universidad-gobierno-industria (modelo de triple hélice)</w:t>
      </w:r>
    </w:p>
    <w:p w:rsidR="00357DC3" w:rsidRPr="00357DC3" w:rsidRDefault="007C1094" w:rsidP="00357DC3">
      <w:pPr>
        <w:pStyle w:val="Prrafodelista"/>
        <w:numPr>
          <w:ilvl w:val="0"/>
          <w:numId w:val="14"/>
        </w:numPr>
        <w:spacing w:after="120"/>
        <w:rPr>
          <w:rFonts w:asciiTheme="majorHAnsi" w:hAnsiTheme="majorHAnsi"/>
          <w:lang w:val="es-PA"/>
        </w:rPr>
      </w:pPr>
      <w:r>
        <w:rPr>
          <w:rFonts w:asciiTheme="majorHAnsi" w:hAnsiTheme="majorHAnsi" w:cs="Arial"/>
          <w:szCs w:val="24"/>
          <w:lang w:val="es-PA"/>
        </w:rPr>
        <w:t>P</w:t>
      </w:r>
      <w:r w:rsidRPr="00AF1CF7">
        <w:rPr>
          <w:rFonts w:asciiTheme="majorHAnsi" w:hAnsiTheme="majorHAnsi" w:cs="Arial"/>
          <w:szCs w:val="24"/>
          <w:lang w:val="es-PA"/>
        </w:rPr>
        <w:t>apel fundamental de la Universidad, como el promotor e impulsor de la multiplicidad de redes</w:t>
      </w:r>
      <w:r w:rsidR="00357DC3">
        <w:rPr>
          <w:rFonts w:asciiTheme="majorHAnsi" w:hAnsiTheme="majorHAnsi" w:cs="Arial"/>
          <w:szCs w:val="24"/>
          <w:lang w:val="es-PA"/>
        </w:rPr>
        <w:t xml:space="preserve"> y relaciones que se establecen</w:t>
      </w:r>
    </w:p>
    <w:p w:rsidR="007C1094" w:rsidRPr="00EA630A" w:rsidRDefault="00357DC3" w:rsidP="00357DC3">
      <w:pPr>
        <w:pStyle w:val="Prrafodelista"/>
        <w:numPr>
          <w:ilvl w:val="0"/>
          <w:numId w:val="14"/>
        </w:numPr>
        <w:spacing w:after="120"/>
        <w:rPr>
          <w:rFonts w:asciiTheme="majorHAnsi" w:hAnsiTheme="majorHAnsi"/>
          <w:lang w:val="es-PA"/>
        </w:rPr>
      </w:pPr>
      <w:r>
        <w:rPr>
          <w:rFonts w:asciiTheme="majorHAnsi" w:hAnsiTheme="majorHAnsi" w:cs="Arial"/>
          <w:szCs w:val="24"/>
        </w:rPr>
        <w:t xml:space="preserve"> </w:t>
      </w:r>
      <w:r w:rsidR="007C1094">
        <w:rPr>
          <w:rFonts w:asciiTheme="majorHAnsi" w:hAnsiTheme="majorHAnsi" w:cs="Arial"/>
          <w:szCs w:val="24"/>
        </w:rPr>
        <w:t>U</w:t>
      </w:r>
      <w:r w:rsidR="007C1094" w:rsidRPr="00AF1CF7">
        <w:rPr>
          <w:rFonts w:asciiTheme="majorHAnsi" w:hAnsiTheme="majorHAnsi" w:cs="Arial"/>
          <w:szCs w:val="24"/>
        </w:rPr>
        <w:t xml:space="preserve">so de </w:t>
      </w:r>
      <w:proofErr w:type="spellStart"/>
      <w:r w:rsidR="007C1094" w:rsidRPr="00AF1CF7">
        <w:rPr>
          <w:rFonts w:asciiTheme="majorHAnsi" w:hAnsiTheme="majorHAnsi" w:cs="Arial"/>
          <w:szCs w:val="24"/>
        </w:rPr>
        <w:t>TIC´s</w:t>
      </w:r>
      <w:proofErr w:type="spellEnd"/>
    </w:p>
    <w:p w:rsidR="00EA630A" w:rsidRPr="00AF1CF7" w:rsidRDefault="00EA630A" w:rsidP="00BD607C">
      <w:pPr>
        <w:pStyle w:val="Prrafodelista"/>
        <w:numPr>
          <w:ilvl w:val="0"/>
          <w:numId w:val="14"/>
        </w:numPr>
        <w:spacing w:after="120" w:line="240" w:lineRule="auto"/>
        <w:rPr>
          <w:rFonts w:asciiTheme="majorHAnsi" w:hAnsiTheme="majorHAnsi"/>
          <w:lang w:val="es-PA"/>
        </w:rPr>
      </w:pPr>
      <w:r>
        <w:rPr>
          <w:rFonts w:asciiTheme="majorHAnsi" w:hAnsiTheme="majorHAnsi" w:cs="Arial"/>
          <w:szCs w:val="24"/>
        </w:rPr>
        <w:t>Tamaño de la empresa</w:t>
      </w:r>
    </w:p>
    <w:p w:rsidR="00C10DBE" w:rsidRPr="005C302A" w:rsidRDefault="00C10DBE" w:rsidP="00357DC3">
      <w:pPr>
        <w:pStyle w:val="Ttulo2"/>
        <w:numPr>
          <w:ilvl w:val="0"/>
          <w:numId w:val="13"/>
        </w:numPr>
        <w:spacing w:before="240" w:after="120"/>
        <w:rPr>
          <w:rFonts w:cs="Arial"/>
          <w:color w:val="auto"/>
          <w:sz w:val="24"/>
          <w:szCs w:val="24"/>
          <w:lang w:val="es-PA"/>
        </w:rPr>
      </w:pPr>
      <w:r w:rsidRPr="005C302A">
        <w:rPr>
          <w:rFonts w:ascii="Cambria" w:hAnsi="Cambria" w:cs="Arial"/>
          <w:color w:val="auto"/>
          <w:sz w:val="24"/>
          <w:szCs w:val="24"/>
          <w:lang w:val="es-PA"/>
        </w:rPr>
        <w:t>Estudios de innovación en Panamá</w:t>
      </w:r>
      <w:bookmarkEnd w:id="2"/>
    </w:p>
    <w:p w:rsidR="005C302A" w:rsidRDefault="00C10DBE" w:rsidP="003C2587">
      <w:pPr>
        <w:spacing w:after="120" w:line="240" w:lineRule="auto"/>
        <w:jc w:val="both"/>
        <w:rPr>
          <w:rFonts w:asciiTheme="majorHAnsi" w:hAnsiTheme="majorHAnsi" w:cs="Arial"/>
          <w:szCs w:val="24"/>
          <w:lang w:val="es-PA"/>
        </w:rPr>
      </w:pPr>
      <w:r w:rsidRPr="005C302A">
        <w:rPr>
          <w:rFonts w:asciiTheme="majorHAnsi" w:hAnsiTheme="majorHAnsi" w:cs="Arial"/>
          <w:szCs w:val="24"/>
          <w:lang w:val="es-PA"/>
        </w:rPr>
        <w:t xml:space="preserve">En </w:t>
      </w:r>
      <w:r w:rsidR="00913699">
        <w:rPr>
          <w:rFonts w:asciiTheme="majorHAnsi" w:hAnsiTheme="majorHAnsi" w:cs="Arial"/>
          <w:szCs w:val="24"/>
          <w:lang w:val="es-PA"/>
        </w:rPr>
        <w:t xml:space="preserve">encuesta </w:t>
      </w:r>
      <w:r w:rsidR="00913699" w:rsidRPr="005C302A">
        <w:rPr>
          <w:rFonts w:asciiTheme="majorHAnsi" w:hAnsiTheme="majorHAnsi" w:cs="Arial"/>
          <w:szCs w:val="24"/>
          <w:lang w:val="es-PA"/>
        </w:rPr>
        <w:t xml:space="preserve">de investigación, desarrollo e innovación en el sector privado </w:t>
      </w:r>
      <w:r w:rsidR="00913699">
        <w:rPr>
          <w:rFonts w:asciiTheme="majorHAnsi" w:hAnsiTheme="majorHAnsi" w:cs="Arial"/>
          <w:szCs w:val="24"/>
          <w:lang w:val="es-PA"/>
        </w:rPr>
        <w:t xml:space="preserve">de </w:t>
      </w:r>
      <w:r w:rsidRPr="005C302A">
        <w:rPr>
          <w:rFonts w:asciiTheme="majorHAnsi" w:hAnsiTheme="majorHAnsi" w:cs="Arial"/>
          <w:szCs w:val="24"/>
          <w:lang w:val="es-PA"/>
        </w:rPr>
        <w:t xml:space="preserve">Panamá (2009), </w:t>
      </w:r>
      <w:r w:rsidR="00913699">
        <w:rPr>
          <w:rFonts w:asciiTheme="majorHAnsi" w:hAnsiTheme="majorHAnsi" w:cs="Arial"/>
          <w:szCs w:val="24"/>
          <w:lang w:val="es-PA"/>
        </w:rPr>
        <w:t xml:space="preserve">el </w:t>
      </w:r>
      <w:r w:rsidRPr="005C302A">
        <w:rPr>
          <w:rFonts w:asciiTheme="majorHAnsi" w:hAnsiTheme="majorHAnsi" w:cs="Arial"/>
          <w:szCs w:val="24"/>
          <w:lang w:val="es-PA"/>
        </w:rPr>
        <w:t>53% de las firmas no llevaron a cabo esfuerzos en actividades de innovación (AI), mientras que el 47% se pueden</w:t>
      </w:r>
      <w:r w:rsidR="00CF3A8C">
        <w:rPr>
          <w:rFonts w:asciiTheme="majorHAnsi" w:hAnsiTheme="majorHAnsi" w:cs="Arial"/>
          <w:szCs w:val="24"/>
          <w:lang w:val="es-PA"/>
        </w:rPr>
        <w:t xml:space="preserve"> considerar empresas innovadoras</w:t>
      </w:r>
      <w:r w:rsidRPr="005C302A">
        <w:rPr>
          <w:rFonts w:asciiTheme="majorHAnsi" w:hAnsiTheme="majorHAnsi" w:cs="Arial"/>
          <w:szCs w:val="24"/>
          <w:lang w:val="es-PA"/>
        </w:rPr>
        <w:t xml:space="preserve"> (36). Se destacan las innovaciones de proces</w:t>
      </w:r>
      <w:r w:rsidR="00CF3A8C">
        <w:rPr>
          <w:rFonts w:asciiTheme="majorHAnsi" w:hAnsiTheme="majorHAnsi" w:cs="Arial"/>
          <w:szCs w:val="24"/>
          <w:lang w:val="es-PA"/>
        </w:rPr>
        <w:t>o (74% de las firmas innovadoras</w:t>
      </w:r>
      <w:r w:rsidRPr="005C302A">
        <w:rPr>
          <w:rFonts w:asciiTheme="majorHAnsi" w:hAnsiTheme="majorHAnsi" w:cs="Arial"/>
          <w:szCs w:val="24"/>
          <w:lang w:val="es-PA"/>
        </w:rPr>
        <w:t xml:space="preserve">), seguidas por las innovaciones en producto y en organización (54% de las firmas) y </w:t>
      </w:r>
      <w:r w:rsidRPr="005C302A">
        <w:rPr>
          <w:rFonts w:asciiTheme="majorHAnsi" w:hAnsiTheme="majorHAnsi" w:cs="Arial"/>
          <w:szCs w:val="24"/>
          <w:lang w:val="es-PA"/>
        </w:rPr>
        <w:lastRenderedPageBreak/>
        <w:t>las innovadoras en comercialización (43%).</w:t>
      </w:r>
      <w:r w:rsidR="005C302A" w:rsidRPr="005C302A">
        <w:rPr>
          <w:rFonts w:asciiTheme="majorHAnsi" w:hAnsiTheme="majorHAnsi" w:cs="Arial"/>
          <w:szCs w:val="24"/>
          <w:lang w:val="es-PA"/>
        </w:rPr>
        <w:t xml:space="preserve"> La investigación citada (32) reporta que los principales  factores que atentan contra el proceso de innovación son los relacionados a la propia empresa: escasez de personal capacitado, riesgo de innovar y rigidez organizacional. Como factores exógenos o externos a la empresa se consideran: el reducido tamaño del mercado, estructura del mercado y el escaso dinamismo del cambio tecnológico del sector.</w:t>
      </w:r>
    </w:p>
    <w:p w:rsidR="005C302A" w:rsidRPr="00572663" w:rsidRDefault="00572663" w:rsidP="003C2587">
      <w:pPr>
        <w:spacing w:after="120" w:line="240" w:lineRule="auto"/>
        <w:jc w:val="both"/>
        <w:rPr>
          <w:rFonts w:asciiTheme="majorHAnsi" w:hAnsiTheme="majorHAnsi" w:cs="Arial"/>
          <w:szCs w:val="24"/>
          <w:lang w:val="es-PA"/>
        </w:rPr>
      </w:pPr>
      <w:r w:rsidRPr="00572663">
        <w:rPr>
          <w:rFonts w:asciiTheme="majorHAnsi" w:hAnsiTheme="majorHAnsi" w:cs="Arial"/>
          <w:szCs w:val="24"/>
          <w:lang w:val="es-PA"/>
        </w:rPr>
        <w:t xml:space="preserve">En investigación realizada </w:t>
      </w:r>
      <w:r w:rsidR="00913699">
        <w:rPr>
          <w:rFonts w:asciiTheme="majorHAnsi" w:hAnsiTheme="majorHAnsi" w:cs="Arial"/>
          <w:szCs w:val="24"/>
          <w:lang w:val="es-PA"/>
        </w:rPr>
        <w:t xml:space="preserve">en </w:t>
      </w:r>
      <w:r w:rsidR="00714CB9">
        <w:rPr>
          <w:rFonts w:asciiTheme="majorHAnsi" w:hAnsiTheme="majorHAnsi" w:cs="Arial"/>
          <w:szCs w:val="24"/>
          <w:lang w:val="es-PA"/>
        </w:rPr>
        <w:t xml:space="preserve">el </w:t>
      </w:r>
      <w:r w:rsidR="00913699">
        <w:rPr>
          <w:rFonts w:asciiTheme="majorHAnsi" w:hAnsiTheme="majorHAnsi" w:cs="Arial"/>
          <w:szCs w:val="24"/>
          <w:lang w:val="es-PA"/>
        </w:rPr>
        <w:t>Centro de Producción e Investigaciones Agroindustriales de la Universidad  Tecnológica de Panamá (</w:t>
      </w:r>
      <w:r w:rsidRPr="00572663">
        <w:rPr>
          <w:rFonts w:asciiTheme="majorHAnsi" w:hAnsiTheme="majorHAnsi" w:cs="Arial"/>
          <w:szCs w:val="24"/>
          <w:lang w:val="es-PA"/>
        </w:rPr>
        <w:t>2013</w:t>
      </w:r>
      <w:r w:rsidR="00913699">
        <w:rPr>
          <w:rFonts w:asciiTheme="majorHAnsi" w:hAnsiTheme="majorHAnsi" w:cs="Arial"/>
          <w:szCs w:val="24"/>
          <w:lang w:val="es-PA"/>
        </w:rPr>
        <w:t xml:space="preserve">) </w:t>
      </w:r>
      <w:r w:rsidRPr="00572663">
        <w:rPr>
          <w:rFonts w:asciiTheme="majorHAnsi" w:hAnsiTheme="majorHAnsi" w:cs="Arial"/>
          <w:szCs w:val="24"/>
          <w:lang w:val="es-PA"/>
        </w:rPr>
        <w:t>se examinó una muestra de 271 empresas de la agroindustria alimentaria  de Panamá, se encontró que el 63% de las empresas de la muestra analizada (n=271) realizan innovaciones, observándose una tendencia que a mayor tamaño es más alto el porcentaje de empresas innovadoras</w:t>
      </w:r>
      <w:r>
        <w:rPr>
          <w:rFonts w:asciiTheme="majorHAnsi" w:hAnsiTheme="majorHAnsi" w:cs="Arial"/>
          <w:szCs w:val="24"/>
          <w:lang w:val="es-PA"/>
        </w:rPr>
        <w:t xml:space="preserve"> (ver tabla 1).</w:t>
      </w:r>
    </w:p>
    <w:p w:rsidR="002B68CA" w:rsidRPr="00962EF5" w:rsidRDefault="00572663" w:rsidP="00357DC3">
      <w:pPr>
        <w:pStyle w:val="Descripcin"/>
        <w:keepNext/>
        <w:spacing w:before="240" w:after="120"/>
        <w:ind w:left="720"/>
        <w:jc w:val="center"/>
        <w:rPr>
          <w:color w:val="auto"/>
        </w:rPr>
      </w:pPr>
      <w:bookmarkStart w:id="4" w:name="_Toc455062517"/>
      <w:r w:rsidRPr="00EC0976">
        <w:rPr>
          <w:rFonts w:asciiTheme="majorHAnsi" w:hAnsiTheme="majorHAnsi"/>
          <w:color w:val="auto"/>
          <w:sz w:val="22"/>
          <w:szCs w:val="22"/>
        </w:rPr>
        <w:t>Tabla</w:t>
      </w:r>
      <w:r w:rsidR="002B68CA" w:rsidRPr="00EC0976">
        <w:rPr>
          <w:rFonts w:asciiTheme="majorHAnsi" w:hAnsiTheme="majorHAnsi"/>
          <w:color w:val="auto"/>
          <w:sz w:val="22"/>
          <w:szCs w:val="22"/>
        </w:rPr>
        <w:t xml:space="preserve"> </w:t>
      </w:r>
      <w:r w:rsidR="002B68CA" w:rsidRPr="00EC0976">
        <w:rPr>
          <w:rFonts w:asciiTheme="majorHAnsi" w:hAnsiTheme="majorHAnsi"/>
          <w:color w:val="auto"/>
          <w:sz w:val="22"/>
          <w:szCs w:val="22"/>
        </w:rPr>
        <w:fldChar w:fldCharType="begin"/>
      </w:r>
      <w:r w:rsidR="002B68CA" w:rsidRPr="00EC0976">
        <w:rPr>
          <w:rFonts w:asciiTheme="majorHAnsi" w:hAnsiTheme="majorHAnsi"/>
          <w:color w:val="auto"/>
          <w:sz w:val="22"/>
          <w:szCs w:val="22"/>
        </w:rPr>
        <w:instrText xml:space="preserve"> SEQ Tabla \* ARABIC </w:instrText>
      </w:r>
      <w:r w:rsidR="002B68CA" w:rsidRPr="00EC0976">
        <w:rPr>
          <w:rFonts w:asciiTheme="majorHAnsi" w:hAnsiTheme="majorHAnsi"/>
          <w:color w:val="auto"/>
          <w:sz w:val="22"/>
          <w:szCs w:val="22"/>
        </w:rPr>
        <w:fldChar w:fldCharType="separate"/>
      </w:r>
      <w:r w:rsidR="001E7B31">
        <w:rPr>
          <w:rFonts w:asciiTheme="majorHAnsi" w:hAnsiTheme="majorHAnsi"/>
          <w:noProof/>
          <w:color w:val="auto"/>
          <w:sz w:val="22"/>
          <w:szCs w:val="22"/>
        </w:rPr>
        <w:t>1</w:t>
      </w:r>
      <w:r w:rsidR="002B68CA" w:rsidRPr="00EC0976">
        <w:rPr>
          <w:rFonts w:asciiTheme="majorHAnsi" w:hAnsiTheme="majorHAnsi"/>
          <w:color w:val="auto"/>
          <w:sz w:val="22"/>
          <w:szCs w:val="22"/>
        </w:rPr>
        <w:fldChar w:fldCharType="end"/>
      </w:r>
      <w:r w:rsidR="002B68CA" w:rsidRPr="00EC0976">
        <w:rPr>
          <w:rFonts w:asciiTheme="majorHAnsi" w:hAnsiTheme="majorHAnsi"/>
          <w:color w:val="auto"/>
          <w:sz w:val="22"/>
          <w:szCs w:val="22"/>
        </w:rPr>
        <w:t>.</w:t>
      </w:r>
      <w:r w:rsidR="002B68CA" w:rsidRPr="00EC0976">
        <w:rPr>
          <w:rFonts w:asciiTheme="majorHAnsi" w:hAnsiTheme="majorHAnsi"/>
          <w:noProof/>
          <w:color w:val="auto"/>
          <w:sz w:val="22"/>
          <w:szCs w:val="22"/>
        </w:rPr>
        <w:t xml:space="preserve"> Agroindustrias alimentarias que realizaron innovaciones según tamaño</w:t>
      </w:r>
      <w:r w:rsidR="002B68CA">
        <w:rPr>
          <w:noProof/>
          <w:color w:val="auto"/>
        </w:rPr>
        <w:t>.</w:t>
      </w:r>
      <w:bookmarkEnd w:id="4"/>
    </w:p>
    <w:tbl>
      <w:tblPr>
        <w:tblStyle w:val="Tablaconcuadrcula2"/>
        <w:tblW w:w="0" w:type="auto"/>
        <w:tblInd w:w="108" w:type="dxa"/>
        <w:tblLook w:val="04A0" w:firstRow="1" w:lastRow="0" w:firstColumn="1" w:lastColumn="0" w:noHBand="0" w:noVBand="1"/>
      </w:tblPr>
      <w:tblGrid>
        <w:gridCol w:w="1434"/>
        <w:gridCol w:w="1458"/>
        <w:gridCol w:w="1552"/>
        <w:gridCol w:w="1467"/>
        <w:gridCol w:w="1552"/>
        <w:gridCol w:w="1149"/>
      </w:tblGrid>
      <w:tr w:rsidR="002B68CA" w:rsidRPr="002D216A" w:rsidTr="00815E95">
        <w:tc>
          <w:tcPr>
            <w:tcW w:w="1434"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Tamaño</w:t>
            </w:r>
          </w:p>
        </w:tc>
        <w:tc>
          <w:tcPr>
            <w:tcW w:w="1458"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n</w:t>
            </w:r>
          </w:p>
        </w:tc>
        <w:tc>
          <w:tcPr>
            <w:tcW w:w="1552"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Si innovaron</w:t>
            </w:r>
          </w:p>
        </w:tc>
        <w:tc>
          <w:tcPr>
            <w:tcW w:w="1467"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w:t>
            </w:r>
          </w:p>
        </w:tc>
        <w:tc>
          <w:tcPr>
            <w:tcW w:w="1552"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No innovaron</w:t>
            </w:r>
          </w:p>
        </w:tc>
        <w:tc>
          <w:tcPr>
            <w:tcW w:w="1149" w:type="dxa"/>
            <w:shd w:val="clear" w:color="auto" w:fill="DBE5F1" w:themeFill="accent1" w:themeFillTint="33"/>
          </w:tcPr>
          <w:p w:rsidR="002B68CA" w:rsidRPr="00EC0976" w:rsidRDefault="002B68CA" w:rsidP="00357DC3">
            <w:pPr>
              <w:jc w:val="center"/>
              <w:rPr>
                <w:rFonts w:asciiTheme="majorHAnsi" w:hAnsiTheme="majorHAnsi" w:cs="Arial"/>
                <w:b/>
                <w:sz w:val="20"/>
              </w:rPr>
            </w:pPr>
            <w:r w:rsidRPr="00EC0976">
              <w:rPr>
                <w:rFonts w:asciiTheme="majorHAnsi" w:hAnsiTheme="majorHAnsi" w:cs="Arial"/>
                <w:b/>
                <w:sz w:val="20"/>
              </w:rPr>
              <w:t>%</w:t>
            </w:r>
          </w:p>
        </w:tc>
      </w:tr>
      <w:tr w:rsidR="002B68CA" w:rsidRPr="002D216A" w:rsidTr="00815E95">
        <w:tc>
          <w:tcPr>
            <w:tcW w:w="1434" w:type="dxa"/>
          </w:tcPr>
          <w:p w:rsidR="002B68CA" w:rsidRPr="002D216A" w:rsidRDefault="002B68CA" w:rsidP="00357DC3">
            <w:pPr>
              <w:jc w:val="center"/>
              <w:rPr>
                <w:rFonts w:cs="Arial"/>
                <w:sz w:val="20"/>
              </w:rPr>
            </w:pPr>
            <w:r w:rsidRPr="002D216A">
              <w:rPr>
                <w:rFonts w:cs="Arial"/>
                <w:sz w:val="20"/>
              </w:rPr>
              <w:t>Micro</w:t>
            </w:r>
          </w:p>
        </w:tc>
        <w:tc>
          <w:tcPr>
            <w:tcW w:w="1458" w:type="dxa"/>
          </w:tcPr>
          <w:p w:rsidR="002B68CA" w:rsidRPr="002D216A" w:rsidRDefault="002B68CA" w:rsidP="00357DC3">
            <w:pPr>
              <w:jc w:val="center"/>
              <w:rPr>
                <w:rFonts w:cs="Arial"/>
                <w:sz w:val="20"/>
              </w:rPr>
            </w:pPr>
            <w:r w:rsidRPr="002D216A">
              <w:rPr>
                <w:rFonts w:cs="Arial"/>
                <w:sz w:val="20"/>
              </w:rPr>
              <w:t>217</w:t>
            </w:r>
          </w:p>
        </w:tc>
        <w:tc>
          <w:tcPr>
            <w:tcW w:w="1552" w:type="dxa"/>
          </w:tcPr>
          <w:p w:rsidR="002B68CA" w:rsidRPr="002D216A" w:rsidRDefault="002B68CA" w:rsidP="00357DC3">
            <w:pPr>
              <w:jc w:val="center"/>
              <w:rPr>
                <w:rFonts w:cs="Arial"/>
                <w:sz w:val="20"/>
              </w:rPr>
            </w:pPr>
            <w:r w:rsidRPr="002D216A">
              <w:rPr>
                <w:rFonts w:cs="Arial"/>
                <w:sz w:val="20"/>
              </w:rPr>
              <w:t>117</w:t>
            </w:r>
          </w:p>
        </w:tc>
        <w:tc>
          <w:tcPr>
            <w:tcW w:w="1467" w:type="dxa"/>
          </w:tcPr>
          <w:p w:rsidR="002B68CA" w:rsidRPr="002D216A" w:rsidRDefault="002B68CA" w:rsidP="00357DC3">
            <w:pPr>
              <w:jc w:val="center"/>
              <w:rPr>
                <w:rFonts w:cs="Arial"/>
                <w:sz w:val="20"/>
              </w:rPr>
            </w:pPr>
            <w:r w:rsidRPr="002D216A">
              <w:rPr>
                <w:rFonts w:cs="Arial"/>
                <w:sz w:val="20"/>
              </w:rPr>
              <w:t>54</w:t>
            </w:r>
          </w:p>
        </w:tc>
        <w:tc>
          <w:tcPr>
            <w:tcW w:w="1552" w:type="dxa"/>
          </w:tcPr>
          <w:p w:rsidR="002B68CA" w:rsidRPr="002D216A" w:rsidRDefault="002B68CA" w:rsidP="00357DC3">
            <w:pPr>
              <w:jc w:val="center"/>
              <w:rPr>
                <w:rFonts w:cs="Arial"/>
                <w:sz w:val="20"/>
              </w:rPr>
            </w:pPr>
            <w:r w:rsidRPr="002D216A">
              <w:rPr>
                <w:rFonts w:cs="Arial"/>
                <w:sz w:val="20"/>
              </w:rPr>
              <w:t>96</w:t>
            </w:r>
          </w:p>
        </w:tc>
        <w:tc>
          <w:tcPr>
            <w:tcW w:w="1149" w:type="dxa"/>
          </w:tcPr>
          <w:p w:rsidR="002B68CA" w:rsidRPr="002D216A" w:rsidRDefault="002B68CA" w:rsidP="00357DC3">
            <w:pPr>
              <w:jc w:val="center"/>
              <w:rPr>
                <w:rFonts w:cs="Arial"/>
                <w:sz w:val="20"/>
              </w:rPr>
            </w:pPr>
            <w:r w:rsidRPr="002D216A">
              <w:rPr>
                <w:rFonts w:cs="Arial"/>
                <w:sz w:val="20"/>
              </w:rPr>
              <w:t>44</w:t>
            </w:r>
          </w:p>
        </w:tc>
      </w:tr>
      <w:tr w:rsidR="002B68CA" w:rsidRPr="002D216A" w:rsidTr="00815E95">
        <w:tc>
          <w:tcPr>
            <w:tcW w:w="1434" w:type="dxa"/>
          </w:tcPr>
          <w:p w:rsidR="002B68CA" w:rsidRPr="002D216A" w:rsidRDefault="002B68CA" w:rsidP="00357DC3">
            <w:pPr>
              <w:jc w:val="center"/>
              <w:rPr>
                <w:rFonts w:cs="Arial"/>
                <w:sz w:val="20"/>
              </w:rPr>
            </w:pPr>
            <w:r w:rsidRPr="002D216A">
              <w:rPr>
                <w:rFonts w:cs="Arial"/>
                <w:sz w:val="20"/>
              </w:rPr>
              <w:t>Pequeña</w:t>
            </w:r>
          </w:p>
        </w:tc>
        <w:tc>
          <w:tcPr>
            <w:tcW w:w="1458" w:type="dxa"/>
          </w:tcPr>
          <w:p w:rsidR="002B68CA" w:rsidRPr="002D216A" w:rsidRDefault="002B68CA" w:rsidP="00357DC3">
            <w:pPr>
              <w:jc w:val="center"/>
              <w:rPr>
                <w:rFonts w:cs="Arial"/>
                <w:sz w:val="20"/>
              </w:rPr>
            </w:pPr>
            <w:r w:rsidRPr="002D216A">
              <w:rPr>
                <w:rFonts w:cs="Arial"/>
                <w:sz w:val="20"/>
              </w:rPr>
              <w:t>38</w:t>
            </w:r>
          </w:p>
        </w:tc>
        <w:tc>
          <w:tcPr>
            <w:tcW w:w="1552" w:type="dxa"/>
          </w:tcPr>
          <w:p w:rsidR="002B68CA" w:rsidRPr="002D216A" w:rsidRDefault="002B68CA" w:rsidP="00357DC3">
            <w:pPr>
              <w:jc w:val="center"/>
              <w:rPr>
                <w:rFonts w:cs="Arial"/>
                <w:sz w:val="20"/>
              </w:rPr>
            </w:pPr>
            <w:r w:rsidRPr="002D216A">
              <w:rPr>
                <w:rFonts w:cs="Arial"/>
                <w:sz w:val="20"/>
              </w:rPr>
              <w:t>34</w:t>
            </w:r>
          </w:p>
        </w:tc>
        <w:tc>
          <w:tcPr>
            <w:tcW w:w="1467" w:type="dxa"/>
          </w:tcPr>
          <w:p w:rsidR="002B68CA" w:rsidRPr="002D216A" w:rsidRDefault="002B68CA" w:rsidP="00357DC3">
            <w:pPr>
              <w:jc w:val="center"/>
              <w:rPr>
                <w:rFonts w:cs="Arial"/>
                <w:sz w:val="20"/>
              </w:rPr>
            </w:pPr>
            <w:r w:rsidRPr="002D216A">
              <w:rPr>
                <w:rFonts w:cs="Arial"/>
                <w:sz w:val="20"/>
              </w:rPr>
              <w:t>89.5</w:t>
            </w:r>
          </w:p>
        </w:tc>
        <w:tc>
          <w:tcPr>
            <w:tcW w:w="1552" w:type="dxa"/>
          </w:tcPr>
          <w:p w:rsidR="002B68CA" w:rsidRPr="002D216A" w:rsidRDefault="002B68CA" w:rsidP="00357DC3">
            <w:pPr>
              <w:jc w:val="center"/>
              <w:rPr>
                <w:rFonts w:cs="Arial"/>
                <w:sz w:val="20"/>
              </w:rPr>
            </w:pPr>
            <w:r w:rsidRPr="002D216A">
              <w:rPr>
                <w:rFonts w:cs="Arial"/>
                <w:sz w:val="20"/>
              </w:rPr>
              <w:t>4</w:t>
            </w:r>
          </w:p>
        </w:tc>
        <w:tc>
          <w:tcPr>
            <w:tcW w:w="1149" w:type="dxa"/>
          </w:tcPr>
          <w:p w:rsidR="002B68CA" w:rsidRPr="002D216A" w:rsidRDefault="002B68CA" w:rsidP="00357DC3">
            <w:pPr>
              <w:jc w:val="center"/>
              <w:rPr>
                <w:rFonts w:cs="Arial"/>
                <w:sz w:val="20"/>
              </w:rPr>
            </w:pPr>
            <w:r w:rsidRPr="002D216A">
              <w:rPr>
                <w:rFonts w:cs="Arial"/>
                <w:sz w:val="20"/>
              </w:rPr>
              <w:t>10.5</w:t>
            </w:r>
          </w:p>
        </w:tc>
      </w:tr>
      <w:tr w:rsidR="002B68CA" w:rsidRPr="002D216A" w:rsidTr="00815E95">
        <w:tc>
          <w:tcPr>
            <w:tcW w:w="1434" w:type="dxa"/>
          </w:tcPr>
          <w:p w:rsidR="002B68CA" w:rsidRPr="002D216A" w:rsidRDefault="002B68CA" w:rsidP="00357DC3">
            <w:pPr>
              <w:jc w:val="center"/>
              <w:rPr>
                <w:rFonts w:cs="Arial"/>
                <w:sz w:val="20"/>
              </w:rPr>
            </w:pPr>
            <w:r w:rsidRPr="002D216A">
              <w:rPr>
                <w:rFonts w:cs="Arial"/>
                <w:sz w:val="20"/>
              </w:rPr>
              <w:t>Mediana</w:t>
            </w:r>
          </w:p>
        </w:tc>
        <w:tc>
          <w:tcPr>
            <w:tcW w:w="1458" w:type="dxa"/>
          </w:tcPr>
          <w:p w:rsidR="002B68CA" w:rsidRPr="002D216A" w:rsidRDefault="002B68CA" w:rsidP="00357DC3">
            <w:pPr>
              <w:jc w:val="center"/>
              <w:rPr>
                <w:rFonts w:cs="Arial"/>
                <w:sz w:val="20"/>
              </w:rPr>
            </w:pPr>
            <w:r w:rsidRPr="002D216A">
              <w:rPr>
                <w:rFonts w:cs="Arial"/>
                <w:sz w:val="20"/>
              </w:rPr>
              <w:t>10</w:t>
            </w:r>
          </w:p>
        </w:tc>
        <w:tc>
          <w:tcPr>
            <w:tcW w:w="1552" w:type="dxa"/>
          </w:tcPr>
          <w:p w:rsidR="002B68CA" w:rsidRPr="002D216A" w:rsidRDefault="002B68CA" w:rsidP="00357DC3">
            <w:pPr>
              <w:jc w:val="center"/>
              <w:rPr>
                <w:rFonts w:cs="Arial"/>
                <w:sz w:val="20"/>
              </w:rPr>
            </w:pPr>
            <w:r w:rsidRPr="002D216A">
              <w:rPr>
                <w:rFonts w:cs="Arial"/>
                <w:sz w:val="20"/>
              </w:rPr>
              <w:t>10</w:t>
            </w:r>
          </w:p>
        </w:tc>
        <w:tc>
          <w:tcPr>
            <w:tcW w:w="1467" w:type="dxa"/>
          </w:tcPr>
          <w:p w:rsidR="002B68CA" w:rsidRPr="002D216A" w:rsidRDefault="002B68CA" w:rsidP="00357DC3">
            <w:pPr>
              <w:jc w:val="center"/>
              <w:rPr>
                <w:rFonts w:cs="Arial"/>
                <w:sz w:val="20"/>
              </w:rPr>
            </w:pPr>
            <w:r w:rsidRPr="002D216A">
              <w:rPr>
                <w:rFonts w:cs="Arial"/>
                <w:sz w:val="20"/>
              </w:rPr>
              <w:t>100</w:t>
            </w:r>
          </w:p>
        </w:tc>
        <w:tc>
          <w:tcPr>
            <w:tcW w:w="1552" w:type="dxa"/>
          </w:tcPr>
          <w:p w:rsidR="002B68CA" w:rsidRPr="002D216A" w:rsidRDefault="002B68CA" w:rsidP="00357DC3">
            <w:pPr>
              <w:jc w:val="center"/>
              <w:rPr>
                <w:rFonts w:cs="Arial"/>
                <w:sz w:val="20"/>
              </w:rPr>
            </w:pPr>
            <w:r w:rsidRPr="002D216A">
              <w:rPr>
                <w:rFonts w:cs="Arial"/>
                <w:sz w:val="20"/>
              </w:rPr>
              <w:t>0</w:t>
            </w:r>
          </w:p>
        </w:tc>
        <w:tc>
          <w:tcPr>
            <w:tcW w:w="1149" w:type="dxa"/>
          </w:tcPr>
          <w:p w:rsidR="002B68CA" w:rsidRPr="002D216A" w:rsidRDefault="002B68CA" w:rsidP="00357DC3">
            <w:pPr>
              <w:jc w:val="center"/>
              <w:rPr>
                <w:rFonts w:cs="Arial"/>
                <w:sz w:val="20"/>
              </w:rPr>
            </w:pPr>
            <w:r w:rsidRPr="002D216A">
              <w:rPr>
                <w:rFonts w:cs="Arial"/>
                <w:sz w:val="20"/>
              </w:rPr>
              <w:t>0</w:t>
            </w:r>
          </w:p>
        </w:tc>
      </w:tr>
      <w:tr w:rsidR="002B68CA" w:rsidRPr="002D216A" w:rsidTr="00815E95">
        <w:tc>
          <w:tcPr>
            <w:tcW w:w="1434" w:type="dxa"/>
          </w:tcPr>
          <w:p w:rsidR="002B68CA" w:rsidRPr="002D216A" w:rsidRDefault="002B68CA" w:rsidP="00357DC3">
            <w:pPr>
              <w:jc w:val="center"/>
              <w:rPr>
                <w:rFonts w:cs="Arial"/>
                <w:sz w:val="20"/>
              </w:rPr>
            </w:pPr>
            <w:r w:rsidRPr="002D216A">
              <w:rPr>
                <w:rFonts w:cs="Arial"/>
                <w:sz w:val="20"/>
              </w:rPr>
              <w:t>Grande</w:t>
            </w:r>
          </w:p>
        </w:tc>
        <w:tc>
          <w:tcPr>
            <w:tcW w:w="1458" w:type="dxa"/>
          </w:tcPr>
          <w:p w:rsidR="002B68CA" w:rsidRPr="002D216A" w:rsidRDefault="002B68CA" w:rsidP="00357DC3">
            <w:pPr>
              <w:jc w:val="center"/>
              <w:rPr>
                <w:rFonts w:cs="Arial"/>
                <w:sz w:val="20"/>
              </w:rPr>
            </w:pPr>
            <w:r w:rsidRPr="002D216A">
              <w:rPr>
                <w:rFonts w:cs="Arial"/>
                <w:sz w:val="20"/>
              </w:rPr>
              <w:t>10</w:t>
            </w:r>
          </w:p>
        </w:tc>
        <w:tc>
          <w:tcPr>
            <w:tcW w:w="1552" w:type="dxa"/>
          </w:tcPr>
          <w:p w:rsidR="002B68CA" w:rsidRPr="002D216A" w:rsidRDefault="002B68CA" w:rsidP="00357DC3">
            <w:pPr>
              <w:jc w:val="center"/>
              <w:rPr>
                <w:rFonts w:cs="Arial"/>
                <w:sz w:val="20"/>
              </w:rPr>
            </w:pPr>
            <w:r w:rsidRPr="002D216A">
              <w:rPr>
                <w:rFonts w:cs="Arial"/>
                <w:sz w:val="20"/>
              </w:rPr>
              <w:t>9</w:t>
            </w:r>
          </w:p>
        </w:tc>
        <w:tc>
          <w:tcPr>
            <w:tcW w:w="1467" w:type="dxa"/>
          </w:tcPr>
          <w:p w:rsidR="002B68CA" w:rsidRPr="002D216A" w:rsidRDefault="002B68CA" w:rsidP="00357DC3">
            <w:pPr>
              <w:jc w:val="center"/>
              <w:rPr>
                <w:rFonts w:cs="Arial"/>
                <w:sz w:val="20"/>
              </w:rPr>
            </w:pPr>
            <w:r w:rsidRPr="002D216A">
              <w:rPr>
                <w:rFonts w:cs="Arial"/>
                <w:sz w:val="20"/>
              </w:rPr>
              <w:t>90</w:t>
            </w:r>
          </w:p>
        </w:tc>
        <w:tc>
          <w:tcPr>
            <w:tcW w:w="1552" w:type="dxa"/>
          </w:tcPr>
          <w:p w:rsidR="002B68CA" w:rsidRPr="002D216A" w:rsidRDefault="002B68CA" w:rsidP="00357DC3">
            <w:pPr>
              <w:jc w:val="center"/>
              <w:rPr>
                <w:rFonts w:cs="Arial"/>
                <w:sz w:val="20"/>
              </w:rPr>
            </w:pPr>
            <w:r w:rsidRPr="002D216A">
              <w:rPr>
                <w:rFonts w:cs="Arial"/>
                <w:sz w:val="20"/>
              </w:rPr>
              <w:t>1</w:t>
            </w:r>
          </w:p>
        </w:tc>
        <w:tc>
          <w:tcPr>
            <w:tcW w:w="1149" w:type="dxa"/>
          </w:tcPr>
          <w:p w:rsidR="002B68CA" w:rsidRPr="002D216A" w:rsidRDefault="002B68CA" w:rsidP="00357DC3">
            <w:pPr>
              <w:jc w:val="center"/>
              <w:rPr>
                <w:rFonts w:cs="Arial"/>
                <w:sz w:val="20"/>
              </w:rPr>
            </w:pPr>
            <w:r w:rsidRPr="002D216A">
              <w:rPr>
                <w:rFonts w:cs="Arial"/>
                <w:sz w:val="20"/>
              </w:rPr>
              <w:t>10</w:t>
            </w:r>
          </w:p>
        </w:tc>
      </w:tr>
      <w:tr w:rsidR="002B68CA" w:rsidRPr="002D216A" w:rsidTr="00815E95">
        <w:tc>
          <w:tcPr>
            <w:tcW w:w="1434" w:type="dxa"/>
          </w:tcPr>
          <w:p w:rsidR="002B68CA" w:rsidRPr="002D216A" w:rsidRDefault="002B68CA" w:rsidP="00357DC3">
            <w:pPr>
              <w:jc w:val="center"/>
              <w:rPr>
                <w:rFonts w:cs="Arial"/>
                <w:sz w:val="20"/>
              </w:rPr>
            </w:pPr>
            <w:r w:rsidRPr="002D216A">
              <w:rPr>
                <w:rFonts w:cs="Arial"/>
                <w:sz w:val="20"/>
              </w:rPr>
              <w:t>Total</w:t>
            </w:r>
          </w:p>
        </w:tc>
        <w:tc>
          <w:tcPr>
            <w:tcW w:w="1458" w:type="dxa"/>
          </w:tcPr>
          <w:p w:rsidR="002B68CA" w:rsidRPr="002D216A" w:rsidRDefault="002B68CA" w:rsidP="00357DC3">
            <w:pPr>
              <w:jc w:val="center"/>
              <w:rPr>
                <w:rFonts w:cs="Arial"/>
                <w:sz w:val="20"/>
              </w:rPr>
            </w:pPr>
            <w:r w:rsidRPr="002D216A">
              <w:rPr>
                <w:rFonts w:cs="Arial"/>
                <w:sz w:val="20"/>
              </w:rPr>
              <w:t>271</w:t>
            </w:r>
          </w:p>
        </w:tc>
        <w:tc>
          <w:tcPr>
            <w:tcW w:w="1552" w:type="dxa"/>
          </w:tcPr>
          <w:p w:rsidR="002B68CA" w:rsidRPr="002D216A" w:rsidRDefault="002B68CA" w:rsidP="00357DC3">
            <w:pPr>
              <w:jc w:val="center"/>
              <w:rPr>
                <w:rFonts w:cs="Arial"/>
                <w:sz w:val="20"/>
              </w:rPr>
            </w:pPr>
            <w:r w:rsidRPr="002D216A">
              <w:rPr>
                <w:rFonts w:cs="Arial"/>
                <w:sz w:val="20"/>
              </w:rPr>
              <w:t>170</w:t>
            </w:r>
          </w:p>
        </w:tc>
        <w:tc>
          <w:tcPr>
            <w:tcW w:w="1467" w:type="dxa"/>
          </w:tcPr>
          <w:p w:rsidR="002B68CA" w:rsidRPr="002D216A" w:rsidRDefault="002B68CA" w:rsidP="00357DC3">
            <w:pPr>
              <w:jc w:val="center"/>
              <w:rPr>
                <w:rFonts w:cs="Arial"/>
                <w:sz w:val="20"/>
              </w:rPr>
            </w:pPr>
            <w:r>
              <w:rPr>
                <w:rFonts w:cs="Arial"/>
                <w:sz w:val="20"/>
              </w:rPr>
              <w:t>63</w:t>
            </w:r>
          </w:p>
        </w:tc>
        <w:tc>
          <w:tcPr>
            <w:tcW w:w="1552" w:type="dxa"/>
          </w:tcPr>
          <w:p w:rsidR="002B68CA" w:rsidRPr="002D216A" w:rsidRDefault="002B68CA" w:rsidP="00357DC3">
            <w:pPr>
              <w:jc w:val="center"/>
              <w:rPr>
                <w:rFonts w:cs="Arial"/>
                <w:sz w:val="20"/>
              </w:rPr>
            </w:pPr>
            <w:r w:rsidRPr="002D216A">
              <w:rPr>
                <w:rFonts w:cs="Arial"/>
                <w:sz w:val="20"/>
              </w:rPr>
              <w:t>101</w:t>
            </w:r>
          </w:p>
        </w:tc>
        <w:tc>
          <w:tcPr>
            <w:tcW w:w="1149" w:type="dxa"/>
          </w:tcPr>
          <w:p w:rsidR="002B68CA" w:rsidRPr="002D216A" w:rsidRDefault="002B68CA" w:rsidP="00357DC3">
            <w:pPr>
              <w:jc w:val="center"/>
              <w:rPr>
                <w:rFonts w:cs="Arial"/>
                <w:sz w:val="20"/>
              </w:rPr>
            </w:pPr>
            <w:r>
              <w:rPr>
                <w:rFonts w:cs="Arial"/>
                <w:sz w:val="20"/>
              </w:rPr>
              <w:t>37</w:t>
            </w:r>
          </w:p>
        </w:tc>
      </w:tr>
    </w:tbl>
    <w:p w:rsidR="002B68CA" w:rsidRDefault="002B68CA" w:rsidP="00913699">
      <w:pPr>
        <w:rPr>
          <w:rFonts w:cs="Arial"/>
          <w:sz w:val="18"/>
          <w:szCs w:val="18"/>
          <w:lang w:val="es-PA"/>
        </w:rPr>
      </w:pPr>
      <w:r w:rsidRPr="00913699">
        <w:rPr>
          <w:rFonts w:cs="Arial"/>
          <w:sz w:val="18"/>
          <w:szCs w:val="18"/>
          <w:lang w:val="es-PA"/>
        </w:rPr>
        <w:t>Fuente: Elaboración propia con datos de encuestas realizadas a agroindustrias alimentarias.</w:t>
      </w:r>
    </w:p>
    <w:p w:rsidR="003C14C6" w:rsidRDefault="003C14C6" w:rsidP="00BD607C">
      <w:pPr>
        <w:spacing w:after="120" w:line="240" w:lineRule="auto"/>
        <w:jc w:val="both"/>
        <w:rPr>
          <w:rFonts w:cs="Arial"/>
          <w:szCs w:val="24"/>
          <w:lang w:val="es-PA"/>
        </w:rPr>
      </w:pPr>
      <w:r w:rsidRPr="003C14C6">
        <w:rPr>
          <w:rFonts w:asciiTheme="majorHAnsi" w:hAnsiTheme="majorHAnsi" w:cs="Arial"/>
          <w:szCs w:val="24"/>
          <w:lang w:val="es-PA"/>
        </w:rPr>
        <w:t>La principal fuente de información para todos los tipos de innovación es el propio empresario y en algunas ocasiones el empresario junto con alguna entidad pública, empresa consultora o internet; sin embargo  no es relevante el papel que juegan estas entidades como fuentes de información para innovar</w:t>
      </w:r>
      <w:r>
        <w:rPr>
          <w:rFonts w:asciiTheme="majorHAnsi" w:hAnsiTheme="majorHAnsi" w:cs="Arial"/>
          <w:szCs w:val="24"/>
          <w:lang w:val="es-PA"/>
        </w:rPr>
        <w:t>.</w:t>
      </w:r>
      <w:r w:rsidR="002F35CE">
        <w:rPr>
          <w:rFonts w:asciiTheme="majorHAnsi" w:hAnsiTheme="majorHAnsi" w:cs="Arial"/>
          <w:szCs w:val="24"/>
          <w:lang w:val="es-PA"/>
        </w:rPr>
        <w:t xml:space="preserve"> También se encontró </w:t>
      </w:r>
      <w:r w:rsidR="002F35CE" w:rsidRPr="0011583A">
        <w:rPr>
          <w:rFonts w:ascii="Cambria" w:hAnsi="Cambria" w:cs="Arial"/>
          <w:szCs w:val="24"/>
          <w:lang w:val="es-PA"/>
        </w:rPr>
        <w:t xml:space="preserve">una correspondencia directa entre el mayor uso de </w:t>
      </w:r>
      <w:proofErr w:type="spellStart"/>
      <w:r w:rsidR="002F35CE" w:rsidRPr="0011583A">
        <w:rPr>
          <w:rFonts w:ascii="Cambria" w:hAnsi="Cambria" w:cs="Arial"/>
          <w:szCs w:val="24"/>
          <w:lang w:val="es-PA"/>
        </w:rPr>
        <w:t>TIC´s</w:t>
      </w:r>
      <w:proofErr w:type="spellEnd"/>
      <w:r w:rsidR="002F35CE" w:rsidRPr="0011583A">
        <w:rPr>
          <w:rFonts w:ascii="Cambria" w:hAnsi="Cambria" w:cs="Arial"/>
          <w:szCs w:val="24"/>
          <w:lang w:val="es-PA"/>
        </w:rPr>
        <w:t xml:space="preserve"> por las agroindustrias y un nivel más alto de innovación</w:t>
      </w:r>
      <w:r w:rsidR="002F35CE" w:rsidRPr="006E553E">
        <w:rPr>
          <w:rFonts w:cs="Arial"/>
          <w:szCs w:val="24"/>
          <w:lang w:val="es-PA"/>
        </w:rPr>
        <w:t>.</w:t>
      </w:r>
    </w:p>
    <w:p w:rsidR="00EC0976" w:rsidRPr="00B90D7D" w:rsidRDefault="00EC0976" w:rsidP="00EC0976">
      <w:pPr>
        <w:spacing w:after="120" w:line="240" w:lineRule="auto"/>
        <w:jc w:val="both"/>
        <w:rPr>
          <w:rFonts w:asciiTheme="majorHAnsi" w:hAnsiTheme="majorHAnsi" w:cs="Arial"/>
          <w:szCs w:val="24"/>
          <w:lang w:val="es-PA"/>
        </w:rPr>
      </w:pPr>
      <w:r w:rsidRPr="00B90D7D">
        <w:rPr>
          <w:rFonts w:asciiTheme="majorHAnsi" w:hAnsiTheme="majorHAnsi" w:cs="Arial"/>
          <w:szCs w:val="24"/>
          <w:lang w:val="es-PA"/>
        </w:rPr>
        <w:t>En los estudios de casos realizados en Panamá, los factores fundamentales que explican la innovación en las agroindustrias son los siguientes: inversión en maquinaria y equipo, vínculos con empresas proveedoras, clientes y competidoras, y demanda u orientación del mercado. Otros factores con menor grado de importancia son: entorno competitivo, incentivos gubernamentales y mano de obra especializada.</w:t>
      </w:r>
      <w:r>
        <w:rPr>
          <w:rFonts w:asciiTheme="majorHAnsi" w:hAnsiTheme="majorHAnsi" w:cs="Arial"/>
          <w:szCs w:val="24"/>
          <w:lang w:val="es-PA"/>
        </w:rPr>
        <w:t xml:space="preserve"> </w:t>
      </w:r>
      <w:r w:rsidRPr="00B90D7D">
        <w:rPr>
          <w:rFonts w:asciiTheme="majorHAnsi" w:hAnsiTheme="majorHAnsi" w:cs="Arial"/>
          <w:szCs w:val="24"/>
          <w:lang w:val="es-PA"/>
        </w:rPr>
        <w:tab/>
      </w:r>
    </w:p>
    <w:p w:rsidR="00EC0976" w:rsidRPr="00CF0DD7" w:rsidRDefault="00EC0976" w:rsidP="00EC0976">
      <w:pPr>
        <w:spacing w:after="120" w:line="240" w:lineRule="auto"/>
        <w:jc w:val="both"/>
        <w:rPr>
          <w:lang w:val="es-PA" w:eastAsia="es-ES"/>
        </w:rPr>
      </w:pPr>
      <w:r w:rsidRPr="00B90D7D">
        <w:rPr>
          <w:rFonts w:asciiTheme="majorHAnsi" w:hAnsiTheme="majorHAnsi" w:cs="Arial"/>
          <w:szCs w:val="24"/>
          <w:lang w:val="es-PA"/>
        </w:rPr>
        <w:t xml:space="preserve">En Panamá, los principales determinantes que </w:t>
      </w:r>
      <w:r w:rsidR="003A001E">
        <w:rPr>
          <w:rFonts w:asciiTheme="majorHAnsi" w:hAnsiTheme="majorHAnsi" w:cs="Arial"/>
          <w:szCs w:val="24"/>
          <w:lang w:val="es-PA"/>
        </w:rPr>
        <w:t>limitan</w:t>
      </w:r>
      <w:r w:rsidRPr="00B90D7D">
        <w:rPr>
          <w:rFonts w:asciiTheme="majorHAnsi" w:hAnsiTheme="majorHAnsi" w:cs="Arial"/>
          <w:szCs w:val="24"/>
          <w:lang w:val="es-PA"/>
        </w:rPr>
        <w:t xml:space="preserve"> el proceso </w:t>
      </w:r>
      <w:proofErr w:type="spellStart"/>
      <w:r w:rsidRPr="00B90D7D">
        <w:rPr>
          <w:rFonts w:asciiTheme="majorHAnsi" w:hAnsiTheme="majorHAnsi" w:cs="Arial"/>
          <w:szCs w:val="24"/>
          <w:lang w:val="es-PA"/>
        </w:rPr>
        <w:t>innovativo</w:t>
      </w:r>
      <w:proofErr w:type="spellEnd"/>
      <w:r w:rsidRPr="00B90D7D">
        <w:rPr>
          <w:rFonts w:asciiTheme="majorHAnsi" w:hAnsiTheme="majorHAnsi" w:cs="Arial"/>
          <w:szCs w:val="24"/>
          <w:lang w:val="es-PA"/>
        </w:rPr>
        <w:t xml:space="preserve"> en las empresas son: Falta de financiamiento y poca o nula inversión en I+D. Otros factores de menor grado de importancia son el reducido tamaño del mercado, la dificultad para predecir la demanda futura y la falta de equipo nacional apropiado para la escala de producción de la empresa. </w:t>
      </w:r>
    </w:p>
    <w:p w:rsidR="00B46BD2" w:rsidRPr="00B46BD2" w:rsidRDefault="00B46BD2" w:rsidP="003C2587">
      <w:pPr>
        <w:pStyle w:val="Ttulo1"/>
        <w:numPr>
          <w:ilvl w:val="0"/>
          <w:numId w:val="0"/>
        </w:numPr>
        <w:spacing w:before="360" w:after="120"/>
        <w:rPr>
          <w:rFonts w:cs="Arial"/>
          <w:color w:val="auto"/>
          <w:sz w:val="24"/>
          <w:szCs w:val="24"/>
          <w:lang w:val="es-PA"/>
        </w:rPr>
      </w:pPr>
      <w:bookmarkStart w:id="5" w:name="_Toc461781108"/>
      <w:r w:rsidRPr="00B46BD2">
        <w:rPr>
          <w:rFonts w:cs="Arial"/>
          <w:color w:val="auto"/>
          <w:sz w:val="24"/>
          <w:szCs w:val="24"/>
          <w:lang w:val="es-PA"/>
        </w:rPr>
        <w:t>CONCLUSIONES</w:t>
      </w:r>
      <w:bookmarkEnd w:id="5"/>
    </w:p>
    <w:p w:rsidR="00B46BD2" w:rsidRPr="00B46BD2" w:rsidRDefault="00B46BD2" w:rsidP="003C2587">
      <w:pPr>
        <w:spacing w:after="120" w:line="240" w:lineRule="auto"/>
        <w:jc w:val="both"/>
        <w:rPr>
          <w:rFonts w:asciiTheme="majorHAnsi" w:hAnsiTheme="majorHAnsi" w:cs="Arial"/>
          <w:szCs w:val="24"/>
        </w:rPr>
      </w:pPr>
      <w:r w:rsidRPr="00B46BD2">
        <w:rPr>
          <w:rFonts w:asciiTheme="majorHAnsi" w:hAnsiTheme="majorHAnsi" w:cs="Arial"/>
          <w:szCs w:val="24"/>
        </w:rPr>
        <w:t xml:space="preserve">La bibliografía revisada permite aceptar la hipótesis de trabajo  que plantea que el grado de innovación en empresas del sector productivo depende de algunos factores claves tales como: inversión en I+D, demanda del mercado, existencia de vínculos con entidades públicas y privadas de investigación, enseñanza y servicios, tamaño de la empresa y políticas de incentivo. Sin embargo el estudio resalta la importancia de otros factores como: trabajo en redes, uso de </w:t>
      </w:r>
      <w:proofErr w:type="spellStart"/>
      <w:r w:rsidRPr="00B46BD2">
        <w:rPr>
          <w:rFonts w:asciiTheme="majorHAnsi" w:hAnsiTheme="majorHAnsi" w:cs="Arial"/>
          <w:szCs w:val="24"/>
        </w:rPr>
        <w:t>TIC´s</w:t>
      </w:r>
      <w:proofErr w:type="spellEnd"/>
      <w:r w:rsidRPr="00B46BD2">
        <w:rPr>
          <w:rFonts w:asciiTheme="majorHAnsi" w:hAnsiTheme="majorHAnsi" w:cs="Arial"/>
          <w:szCs w:val="24"/>
        </w:rPr>
        <w:t xml:space="preserve">, organización de las empresas en </w:t>
      </w:r>
      <w:proofErr w:type="spellStart"/>
      <w:r w:rsidRPr="00B46BD2">
        <w:rPr>
          <w:rFonts w:asciiTheme="majorHAnsi" w:hAnsiTheme="majorHAnsi" w:cs="Arial"/>
          <w:szCs w:val="24"/>
        </w:rPr>
        <w:t>clusters</w:t>
      </w:r>
      <w:proofErr w:type="spellEnd"/>
      <w:r w:rsidRPr="00B46BD2">
        <w:rPr>
          <w:rFonts w:asciiTheme="majorHAnsi" w:hAnsiTheme="majorHAnsi" w:cs="Arial"/>
          <w:szCs w:val="24"/>
        </w:rPr>
        <w:t>, participación de los socios de las empresas (competidores, clientes, proveedores, universidades), entre otros.</w:t>
      </w:r>
      <w:r w:rsidRPr="00B46BD2">
        <w:rPr>
          <w:rFonts w:asciiTheme="majorHAnsi" w:hAnsiTheme="majorHAnsi" w:cs="Arial"/>
          <w:szCs w:val="24"/>
        </w:rPr>
        <w:tab/>
      </w:r>
    </w:p>
    <w:p w:rsidR="00B46BD2" w:rsidRPr="00B46BD2" w:rsidRDefault="00B46BD2" w:rsidP="009E07A8">
      <w:pPr>
        <w:spacing w:after="120" w:line="240" w:lineRule="auto"/>
        <w:jc w:val="both"/>
        <w:rPr>
          <w:rFonts w:asciiTheme="majorHAnsi" w:hAnsiTheme="majorHAnsi" w:cs="Arial"/>
          <w:szCs w:val="24"/>
          <w:highlight w:val="yellow"/>
        </w:rPr>
      </w:pPr>
      <w:r w:rsidRPr="00B46BD2">
        <w:rPr>
          <w:rFonts w:asciiTheme="majorHAnsi" w:hAnsiTheme="majorHAnsi" w:cs="Arial"/>
          <w:szCs w:val="24"/>
        </w:rPr>
        <w:t xml:space="preserve">La innovación enfrenta obstáculos que tienen que ver con la empresa (tamaño, capacidad de inversión, nivel tecnológico, personal calificado, grado de interacción con otros actores, uso de </w:t>
      </w:r>
      <w:proofErr w:type="spellStart"/>
      <w:r w:rsidRPr="00B46BD2">
        <w:rPr>
          <w:rFonts w:asciiTheme="majorHAnsi" w:hAnsiTheme="majorHAnsi" w:cs="Arial"/>
          <w:szCs w:val="24"/>
        </w:rPr>
        <w:t>TIC´s</w:t>
      </w:r>
      <w:proofErr w:type="spellEnd"/>
      <w:r w:rsidRPr="00B46BD2">
        <w:rPr>
          <w:rFonts w:asciiTheme="majorHAnsi" w:hAnsiTheme="majorHAnsi" w:cs="Arial"/>
          <w:szCs w:val="24"/>
        </w:rPr>
        <w:t>) y otros externos a la misma (financiamiento, tamaño del mercado, errores en las políticas públicas de ciencia y tecnología, debilidad del sistema nacional de innovación, baja coordinación interinstitucional, insuficiente infraestructura para la investigación, factores relacionados con la propiedad intelectual, sistemas de información, entre otros.</w:t>
      </w:r>
    </w:p>
    <w:p w:rsidR="00B46BD2" w:rsidRPr="00B46BD2" w:rsidRDefault="00B46BD2" w:rsidP="00BD607C">
      <w:pPr>
        <w:spacing w:after="120" w:line="240" w:lineRule="auto"/>
        <w:jc w:val="both"/>
        <w:rPr>
          <w:rFonts w:asciiTheme="majorHAnsi" w:hAnsiTheme="majorHAnsi" w:cs="Arial"/>
          <w:szCs w:val="24"/>
        </w:rPr>
      </w:pPr>
      <w:r w:rsidRPr="00B46BD2">
        <w:rPr>
          <w:rFonts w:asciiTheme="majorHAnsi" w:hAnsiTheme="majorHAnsi" w:cs="Arial"/>
          <w:szCs w:val="24"/>
        </w:rPr>
        <w:t>Los factores que impulsan la innovación en las empresas, según la literatura examinada, son similares en los países con ingreso per</w:t>
      </w:r>
      <w:r w:rsidR="00CF3A8C">
        <w:rPr>
          <w:rFonts w:asciiTheme="majorHAnsi" w:hAnsiTheme="majorHAnsi" w:cs="Arial"/>
          <w:szCs w:val="24"/>
        </w:rPr>
        <w:t xml:space="preserve"> </w:t>
      </w:r>
      <w:bookmarkStart w:id="6" w:name="_GoBack"/>
      <w:bookmarkEnd w:id="6"/>
      <w:r w:rsidRPr="00B46BD2">
        <w:rPr>
          <w:rFonts w:asciiTheme="majorHAnsi" w:hAnsiTheme="majorHAnsi" w:cs="Arial"/>
          <w:szCs w:val="24"/>
        </w:rPr>
        <w:t>cápita mediano a alto.</w:t>
      </w:r>
    </w:p>
    <w:p w:rsidR="00B46BD2" w:rsidRPr="00C2324A" w:rsidRDefault="001E0395" w:rsidP="009E07A8">
      <w:pPr>
        <w:pStyle w:val="Ttulo1"/>
        <w:numPr>
          <w:ilvl w:val="0"/>
          <w:numId w:val="0"/>
        </w:numPr>
        <w:spacing w:before="360" w:after="120"/>
        <w:rPr>
          <w:rFonts w:cs="Arial"/>
          <w:color w:val="auto"/>
          <w:sz w:val="24"/>
          <w:szCs w:val="24"/>
          <w:lang w:val="es-PA"/>
        </w:rPr>
      </w:pPr>
      <w:r w:rsidRPr="00C2324A">
        <w:rPr>
          <w:rFonts w:cs="Arial"/>
          <w:color w:val="auto"/>
          <w:sz w:val="24"/>
          <w:szCs w:val="24"/>
          <w:lang w:val="es-PA"/>
        </w:rPr>
        <w:lastRenderedPageBreak/>
        <w:t>REFERENCIAS</w:t>
      </w:r>
    </w:p>
    <w:p w:rsidR="003E349A" w:rsidRDefault="00B46BD2" w:rsidP="009E07A8">
      <w:pPr>
        <w:spacing w:after="120" w:line="240" w:lineRule="auto"/>
        <w:jc w:val="both"/>
        <w:rPr>
          <w:rFonts w:ascii="Cambria" w:hAnsi="Cambria" w:cs="Arial"/>
        </w:rPr>
      </w:pPr>
      <w:r w:rsidRPr="003E349A">
        <w:rPr>
          <w:rFonts w:ascii="Cambria" w:hAnsi="Cambria" w:cs="Arial"/>
        </w:rPr>
        <w:t>Banco Interamericano de Desarrollo</w:t>
      </w:r>
      <w:r w:rsidR="00962E40">
        <w:rPr>
          <w:rFonts w:ascii="Cambria" w:hAnsi="Cambria" w:cs="Arial"/>
        </w:rPr>
        <w:t>.</w:t>
      </w:r>
      <w:r w:rsidRPr="003E349A">
        <w:rPr>
          <w:rFonts w:ascii="Cambria" w:hAnsi="Cambria" w:cs="Arial"/>
        </w:rPr>
        <w:t xml:space="preserve"> (2016). Innovación y productividad en las empresas en América Latina y el Caribe: El Motor del desarrollo económico. </w:t>
      </w:r>
      <w:proofErr w:type="spellStart"/>
      <w:r w:rsidRPr="003E349A">
        <w:rPr>
          <w:rFonts w:ascii="Cambria" w:hAnsi="Cambria" w:cs="Arial"/>
        </w:rPr>
        <w:t>Edited</w:t>
      </w:r>
      <w:proofErr w:type="spellEnd"/>
      <w:r w:rsidRPr="003E349A">
        <w:rPr>
          <w:rFonts w:ascii="Cambria" w:hAnsi="Cambria" w:cs="Arial"/>
        </w:rPr>
        <w:t xml:space="preserve"> </w:t>
      </w:r>
      <w:proofErr w:type="spellStart"/>
      <w:r w:rsidRPr="003E349A">
        <w:rPr>
          <w:rFonts w:ascii="Cambria" w:hAnsi="Cambria" w:cs="Arial"/>
        </w:rPr>
        <w:t>by</w:t>
      </w:r>
      <w:proofErr w:type="spellEnd"/>
      <w:r w:rsidRPr="003E349A">
        <w:rPr>
          <w:rFonts w:ascii="Cambria" w:hAnsi="Cambria" w:cs="Arial"/>
        </w:rPr>
        <w:t xml:space="preserve"> </w:t>
      </w:r>
      <w:proofErr w:type="spellStart"/>
      <w:r w:rsidRPr="003E349A">
        <w:rPr>
          <w:rFonts w:ascii="Cambria" w:hAnsi="Cambria" w:cs="Arial"/>
        </w:rPr>
        <w:t>Matteo</w:t>
      </w:r>
      <w:proofErr w:type="spellEnd"/>
      <w:r w:rsidRPr="003E349A">
        <w:rPr>
          <w:rFonts w:ascii="Cambria" w:hAnsi="Cambria" w:cs="Arial"/>
        </w:rPr>
        <w:t xml:space="preserve"> </w:t>
      </w:r>
      <w:proofErr w:type="spellStart"/>
      <w:r w:rsidRPr="003E349A">
        <w:rPr>
          <w:rFonts w:ascii="Cambria" w:hAnsi="Cambria" w:cs="Arial"/>
        </w:rPr>
        <w:t>Grazzi</w:t>
      </w:r>
      <w:proofErr w:type="spellEnd"/>
      <w:r w:rsidRPr="003E349A">
        <w:rPr>
          <w:rFonts w:ascii="Cambria" w:hAnsi="Cambria" w:cs="Arial"/>
        </w:rPr>
        <w:t xml:space="preserve"> &amp; Carlo </w:t>
      </w:r>
      <w:proofErr w:type="spellStart"/>
      <w:r w:rsidRPr="003E349A">
        <w:rPr>
          <w:rFonts w:ascii="Cambria" w:hAnsi="Cambria" w:cs="Arial"/>
        </w:rPr>
        <w:t>Pietrobellin</w:t>
      </w:r>
      <w:proofErr w:type="spellEnd"/>
      <w:r w:rsidRPr="003E349A">
        <w:rPr>
          <w:rFonts w:ascii="Cambria" w:hAnsi="Cambria" w:cs="Arial"/>
        </w:rPr>
        <w:t>.</w:t>
      </w:r>
    </w:p>
    <w:p w:rsidR="00B46BD2" w:rsidRPr="003E349A" w:rsidRDefault="00B46BD2" w:rsidP="009E07A8">
      <w:pPr>
        <w:spacing w:after="120" w:line="240" w:lineRule="auto"/>
        <w:jc w:val="both"/>
        <w:rPr>
          <w:rFonts w:ascii="Cambria" w:hAnsi="Cambria" w:cs="Arial"/>
        </w:rPr>
      </w:pPr>
      <w:r w:rsidRPr="003E349A">
        <w:rPr>
          <w:rFonts w:ascii="Cambria" w:hAnsi="Cambria" w:cs="Arial"/>
        </w:rPr>
        <w:t>Organización para la Coo</w:t>
      </w:r>
      <w:r w:rsidR="00FD58CA">
        <w:rPr>
          <w:rFonts w:ascii="Cambria" w:hAnsi="Cambria" w:cs="Arial"/>
        </w:rPr>
        <w:t>peración y Desarrollo Económico</w:t>
      </w:r>
      <w:r w:rsidRPr="003E349A">
        <w:rPr>
          <w:rFonts w:ascii="Cambria" w:hAnsi="Cambria" w:cs="Arial"/>
        </w:rPr>
        <w:t xml:space="preserve"> (OCDE). (2005). </w:t>
      </w:r>
      <w:r w:rsidRPr="003E349A">
        <w:rPr>
          <w:rFonts w:ascii="Cambria" w:hAnsi="Cambria" w:cs="Arial"/>
          <w:i/>
        </w:rPr>
        <w:t>Manual de Oslo.</w:t>
      </w:r>
      <w:r w:rsidRPr="003E349A">
        <w:rPr>
          <w:rFonts w:ascii="Cambria" w:hAnsi="Cambria" w:cs="Arial"/>
        </w:rPr>
        <w:t xml:space="preserve">  </w:t>
      </w:r>
      <w:r w:rsidRPr="003E349A">
        <w:rPr>
          <w:rFonts w:ascii="Cambria" w:hAnsi="Cambria" w:cs="Arial"/>
          <w:i/>
        </w:rPr>
        <w:t>Guía para la recogida e interpretación de datos de innovación.</w:t>
      </w:r>
      <w:r w:rsidRPr="003E349A">
        <w:rPr>
          <w:rFonts w:ascii="Cambria" w:hAnsi="Cambria" w:cs="Arial"/>
        </w:rPr>
        <w:t xml:space="preserve">  OCDE. Tercera edición 2005.</w:t>
      </w:r>
    </w:p>
    <w:p w:rsidR="00B46BD2" w:rsidRPr="003E349A" w:rsidRDefault="00B46BD2" w:rsidP="009E07A8">
      <w:pPr>
        <w:spacing w:after="120" w:line="240" w:lineRule="auto"/>
        <w:jc w:val="both"/>
        <w:rPr>
          <w:rFonts w:ascii="Cambria" w:hAnsi="Cambria" w:cs="Arial"/>
        </w:rPr>
      </w:pPr>
      <w:r w:rsidRPr="003E349A">
        <w:rPr>
          <w:rFonts w:ascii="Cambria" w:hAnsi="Cambria" w:cs="Arial"/>
        </w:rPr>
        <w:t>Organización para la Coo</w:t>
      </w:r>
      <w:r w:rsidR="004D7CAC">
        <w:rPr>
          <w:rFonts w:ascii="Cambria" w:hAnsi="Cambria" w:cs="Arial"/>
        </w:rPr>
        <w:t>peración y Desarrollo Económico</w:t>
      </w:r>
      <w:r w:rsidRPr="003E349A">
        <w:rPr>
          <w:rFonts w:ascii="Cambria" w:hAnsi="Cambria" w:cs="Arial"/>
        </w:rPr>
        <w:t xml:space="preserve"> (OCDE). (2002). </w:t>
      </w:r>
      <w:r w:rsidRPr="003E349A">
        <w:rPr>
          <w:rFonts w:ascii="Cambria" w:hAnsi="Cambria" w:cs="Arial"/>
          <w:i/>
          <w:iCs/>
        </w:rPr>
        <w:t xml:space="preserve">Manual de </w:t>
      </w:r>
      <w:proofErr w:type="spellStart"/>
      <w:r w:rsidRPr="003E349A">
        <w:rPr>
          <w:rFonts w:ascii="Cambria" w:hAnsi="Cambria" w:cs="Arial"/>
          <w:i/>
          <w:iCs/>
        </w:rPr>
        <w:t>Frascati</w:t>
      </w:r>
      <w:proofErr w:type="spellEnd"/>
      <w:r w:rsidRPr="003E349A">
        <w:rPr>
          <w:rFonts w:ascii="Cambria" w:hAnsi="Cambria" w:cs="Arial"/>
        </w:rPr>
        <w:t>. (Fundación Española de Ciencia y Tecnología (FECYT), Ed.).</w:t>
      </w:r>
    </w:p>
    <w:p w:rsidR="00B46BD2" w:rsidRPr="003E349A" w:rsidRDefault="00B46BD2" w:rsidP="009E07A8">
      <w:pPr>
        <w:spacing w:after="120" w:line="240" w:lineRule="auto"/>
        <w:jc w:val="both"/>
        <w:rPr>
          <w:rFonts w:ascii="Cambria" w:hAnsi="Cambria" w:cs="Arial"/>
        </w:rPr>
      </w:pPr>
      <w:r w:rsidRPr="003E349A">
        <w:rPr>
          <w:rFonts w:ascii="Cambria" w:hAnsi="Cambria" w:cs="Arial"/>
        </w:rPr>
        <w:t>Instituto Interamericano de Cooperación para la Agricultura</w:t>
      </w:r>
      <w:r w:rsidR="00962E40">
        <w:rPr>
          <w:rFonts w:ascii="Cambria" w:hAnsi="Cambria" w:cs="Arial"/>
        </w:rPr>
        <w:t xml:space="preserve">. </w:t>
      </w:r>
      <w:r w:rsidRPr="003E349A">
        <w:rPr>
          <w:rFonts w:ascii="Cambria" w:hAnsi="Cambria" w:cs="Arial"/>
        </w:rPr>
        <w:t>(</w:t>
      </w:r>
      <w:r w:rsidR="00883C70">
        <w:rPr>
          <w:rFonts w:ascii="Cambria" w:hAnsi="Cambria" w:cs="Arial"/>
        </w:rPr>
        <w:t>2002</w:t>
      </w:r>
      <w:r w:rsidRPr="003E349A">
        <w:rPr>
          <w:rFonts w:ascii="Cambria" w:hAnsi="Cambria" w:cs="Arial"/>
        </w:rPr>
        <w:t>). “Guía Metodológica para el diagnóstico de sistemas nacionales de innovación agroalimentaria en América Latina y el Caribe”. Febrero 2002.</w:t>
      </w:r>
    </w:p>
    <w:p w:rsidR="003E349A" w:rsidRPr="003E349A" w:rsidRDefault="00B46BD2" w:rsidP="009E07A8">
      <w:pPr>
        <w:spacing w:after="120" w:line="240" w:lineRule="auto"/>
        <w:jc w:val="both"/>
        <w:rPr>
          <w:rFonts w:ascii="Cambria" w:hAnsi="Cambria" w:cs="Arial"/>
        </w:rPr>
      </w:pPr>
      <w:r w:rsidRPr="003E349A">
        <w:rPr>
          <w:rFonts w:ascii="Cambria" w:hAnsi="Cambria" w:cs="Arial"/>
        </w:rPr>
        <w:t>Chaparro, Fernando.</w:t>
      </w:r>
      <w:r w:rsidR="00962E40">
        <w:rPr>
          <w:rFonts w:ascii="Cambria" w:hAnsi="Cambria" w:cs="Arial"/>
        </w:rPr>
        <w:t xml:space="preserve"> (1998).</w:t>
      </w:r>
      <w:r w:rsidRPr="003E349A">
        <w:rPr>
          <w:rFonts w:ascii="Cambria" w:hAnsi="Cambria" w:cs="Arial"/>
        </w:rPr>
        <w:t xml:space="preserve"> “Logros alcanzados y desafíos futuros en el fomento de la innovación y el cambio tecnológico: “El caso de Colombia”. COLCIENCIAS, Washington, 9-10 de febrero de 1998.</w:t>
      </w:r>
    </w:p>
    <w:p w:rsidR="00B46BD2" w:rsidRPr="003E349A" w:rsidRDefault="00B46BD2" w:rsidP="009E07A8">
      <w:pPr>
        <w:spacing w:after="120" w:line="240" w:lineRule="auto"/>
        <w:jc w:val="both"/>
        <w:rPr>
          <w:rFonts w:ascii="Cambria" w:hAnsi="Cambria" w:cs="Arial"/>
        </w:rPr>
      </w:pPr>
      <w:r w:rsidRPr="003E349A">
        <w:rPr>
          <w:rFonts w:ascii="Cambria" w:hAnsi="Cambria" w:cs="Arial"/>
        </w:rPr>
        <w:t xml:space="preserve">Banco Interamericano de Desarrollo (BID). </w:t>
      </w:r>
      <w:r w:rsidR="00962E40">
        <w:rPr>
          <w:rFonts w:ascii="Cambria" w:hAnsi="Cambria" w:cs="Arial"/>
        </w:rPr>
        <w:t xml:space="preserve">(2011). </w:t>
      </w:r>
      <w:r w:rsidRPr="003E349A">
        <w:rPr>
          <w:rFonts w:ascii="Cambria" w:hAnsi="Cambria" w:cs="Arial"/>
        </w:rPr>
        <w:t>La necesidad de innovar. El camino hacia el progreso de América Latina y el Caribe.  2da. Edición 2011.</w:t>
      </w:r>
    </w:p>
    <w:p w:rsidR="00B46BD2" w:rsidRPr="003E349A" w:rsidRDefault="00B46BD2" w:rsidP="009E07A8">
      <w:pPr>
        <w:pStyle w:val="NormalWeb"/>
        <w:spacing w:before="0" w:beforeAutospacing="0" w:after="120" w:afterAutospacing="0"/>
        <w:rPr>
          <w:rFonts w:ascii="Cambria" w:hAnsi="Cambria" w:cs="Arial"/>
          <w:sz w:val="22"/>
          <w:szCs w:val="22"/>
        </w:rPr>
      </w:pPr>
      <w:proofErr w:type="spellStart"/>
      <w:r w:rsidRPr="003E349A">
        <w:rPr>
          <w:rFonts w:ascii="Cambria" w:hAnsi="Cambria" w:cs="Arial"/>
          <w:sz w:val="22"/>
          <w:szCs w:val="22"/>
          <w:lang w:val="en-US"/>
        </w:rPr>
        <w:t>Vanclay</w:t>
      </w:r>
      <w:proofErr w:type="spellEnd"/>
      <w:r w:rsidRPr="003E349A">
        <w:rPr>
          <w:rFonts w:ascii="Cambria" w:hAnsi="Cambria" w:cs="Arial"/>
          <w:sz w:val="22"/>
          <w:szCs w:val="22"/>
          <w:lang w:val="en-US"/>
        </w:rPr>
        <w:t xml:space="preserve">, F. M., Russell, a. W., &amp; Kimber, J. (2013). Enhancing innovation in agriculture at the policy level: The potential contribution of Technology Assessment. </w:t>
      </w:r>
      <w:proofErr w:type="spellStart"/>
      <w:r w:rsidRPr="003E349A">
        <w:rPr>
          <w:rFonts w:ascii="Cambria" w:hAnsi="Cambria" w:cs="Arial"/>
          <w:i/>
          <w:iCs/>
          <w:sz w:val="22"/>
          <w:szCs w:val="22"/>
        </w:rPr>
        <w:t>Land</w:t>
      </w:r>
      <w:proofErr w:type="spellEnd"/>
      <w:r w:rsidRPr="003E349A">
        <w:rPr>
          <w:rFonts w:ascii="Cambria" w:hAnsi="Cambria" w:cs="Arial"/>
          <w:i/>
          <w:iCs/>
          <w:sz w:val="22"/>
          <w:szCs w:val="22"/>
        </w:rPr>
        <w:t xml:space="preserve"> Use </w:t>
      </w:r>
      <w:proofErr w:type="spellStart"/>
      <w:r w:rsidRPr="003E349A">
        <w:rPr>
          <w:rFonts w:ascii="Cambria" w:hAnsi="Cambria" w:cs="Arial"/>
          <w:i/>
          <w:iCs/>
          <w:sz w:val="22"/>
          <w:szCs w:val="22"/>
        </w:rPr>
        <w:t>Policy</w:t>
      </w:r>
      <w:proofErr w:type="spellEnd"/>
      <w:r w:rsidRPr="003E349A">
        <w:rPr>
          <w:rFonts w:ascii="Cambria" w:hAnsi="Cambria" w:cs="Arial"/>
          <w:sz w:val="22"/>
          <w:szCs w:val="22"/>
        </w:rPr>
        <w:t xml:space="preserve">, </w:t>
      </w:r>
      <w:r w:rsidRPr="003E349A">
        <w:rPr>
          <w:rFonts w:ascii="Cambria" w:hAnsi="Cambria" w:cs="Arial"/>
          <w:i/>
          <w:iCs/>
          <w:sz w:val="22"/>
          <w:szCs w:val="22"/>
        </w:rPr>
        <w:t>31</w:t>
      </w:r>
      <w:r w:rsidRPr="003E349A">
        <w:rPr>
          <w:rFonts w:ascii="Cambria" w:hAnsi="Cambria" w:cs="Arial"/>
          <w:sz w:val="22"/>
          <w:szCs w:val="22"/>
        </w:rPr>
        <w:t>, 406–411. 2012.</w:t>
      </w:r>
    </w:p>
    <w:p w:rsidR="00B46BD2" w:rsidRPr="003E349A" w:rsidRDefault="00B46BD2" w:rsidP="009E07A8">
      <w:pPr>
        <w:pStyle w:val="NormalWeb"/>
        <w:spacing w:after="120" w:afterAutospacing="0"/>
        <w:jc w:val="both"/>
        <w:rPr>
          <w:rFonts w:ascii="Cambria" w:hAnsi="Cambria" w:cs="Arial"/>
          <w:sz w:val="22"/>
          <w:szCs w:val="22"/>
        </w:rPr>
      </w:pPr>
      <w:r w:rsidRPr="003E349A">
        <w:rPr>
          <w:rFonts w:ascii="Cambria" w:hAnsi="Cambria" w:cs="Arial"/>
          <w:sz w:val="22"/>
          <w:szCs w:val="22"/>
        </w:rPr>
        <w:t xml:space="preserve">Padilla, R. (editor). (2013). </w:t>
      </w:r>
      <w:r w:rsidRPr="003E349A">
        <w:rPr>
          <w:rFonts w:ascii="Cambria" w:hAnsi="Cambria" w:cs="Arial"/>
          <w:i/>
          <w:iCs/>
          <w:sz w:val="22"/>
          <w:szCs w:val="22"/>
        </w:rPr>
        <w:t xml:space="preserve">Sistemas de innovación en Centroamérica. Fortalecimiento a través de la integración regional. </w:t>
      </w:r>
      <w:proofErr w:type="spellStart"/>
      <w:r w:rsidRPr="003E349A">
        <w:rPr>
          <w:rFonts w:ascii="Cambria" w:hAnsi="Cambria" w:cs="Arial"/>
          <w:i/>
          <w:iCs/>
          <w:sz w:val="22"/>
          <w:szCs w:val="22"/>
        </w:rPr>
        <w:t>Cepal</w:t>
      </w:r>
      <w:proofErr w:type="spellEnd"/>
      <w:r w:rsidRPr="003E349A">
        <w:rPr>
          <w:rFonts w:ascii="Cambria" w:hAnsi="Cambria" w:cs="Arial"/>
          <w:i/>
          <w:iCs/>
          <w:sz w:val="22"/>
          <w:szCs w:val="22"/>
        </w:rPr>
        <w:t>/Ministerio Federal de Cooperación Económica y Desarrollo/GIZ</w:t>
      </w:r>
      <w:r w:rsidRPr="003E349A">
        <w:rPr>
          <w:rFonts w:ascii="Cambria" w:hAnsi="Cambria" w:cs="Arial"/>
          <w:sz w:val="22"/>
          <w:szCs w:val="22"/>
        </w:rPr>
        <w:t>.</w:t>
      </w:r>
    </w:p>
    <w:p w:rsidR="00B46BD2" w:rsidRPr="003E349A" w:rsidRDefault="00B46BD2" w:rsidP="009E07A8">
      <w:pPr>
        <w:spacing w:before="100" w:beforeAutospacing="1" w:after="120" w:line="240" w:lineRule="auto"/>
        <w:rPr>
          <w:rFonts w:ascii="Cambria" w:hAnsi="Cambria" w:cs="Arial"/>
          <w:lang w:val="en-US"/>
        </w:rPr>
      </w:pPr>
      <w:r w:rsidRPr="003E349A">
        <w:rPr>
          <w:rFonts w:ascii="Cambria" w:hAnsi="Cambria" w:cs="Arial"/>
          <w:lang w:val="en-US"/>
        </w:rPr>
        <w:t>World Bank. (2007). Enhancing Agricultural Innovation. How to go beyond the strengthening of research systems. Agricultural and rural development. The World Bank. 2007.</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Avermaete</w:t>
      </w:r>
      <w:proofErr w:type="spellEnd"/>
      <w:r w:rsidRPr="003E349A">
        <w:rPr>
          <w:rFonts w:ascii="Cambria" w:hAnsi="Cambria" w:cs="Arial"/>
          <w:lang w:val="en-US"/>
        </w:rPr>
        <w:t xml:space="preserve">, T., </w:t>
      </w:r>
      <w:proofErr w:type="spellStart"/>
      <w:r w:rsidRPr="003E349A">
        <w:rPr>
          <w:rFonts w:ascii="Cambria" w:hAnsi="Cambria" w:cs="Arial"/>
          <w:lang w:val="en-US"/>
        </w:rPr>
        <w:t>Viaene</w:t>
      </w:r>
      <w:proofErr w:type="spellEnd"/>
      <w:r w:rsidRPr="003E349A">
        <w:rPr>
          <w:rFonts w:ascii="Cambria" w:hAnsi="Cambria" w:cs="Arial"/>
          <w:lang w:val="en-US"/>
        </w:rPr>
        <w:t xml:space="preserve">, J., Morgan, E. J., Pitts, E., Crawford, N., &amp; Mahon, D. (2004). Determinants of product and process innovation in small food </w:t>
      </w:r>
      <w:proofErr w:type="spellStart"/>
      <w:proofErr w:type="gramStart"/>
      <w:r w:rsidRPr="003E349A">
        <w:rPr>
          <w:rFonts w:ascii="Cambria" w:hAnsi="Cambria" w:cs="Arial"/>
          <w:lang w:val="en-US"/>
        </w:rPr>
        <w:t>manufacturing.Trends</w:t>
      </w:r>
      <w:proofErr w:type="spellEnd"/>
      <w:proofErr w:type="gramEnd"/>
      <w:r w:rsidRPr="003E349A">
        <w:rPr>
          <w:rFonts w:ascii="Cambria" w:hAnsi="Cambria" w:cs="Arial"/>
          <w:lang w:val="en-US"/>
        </w:rPr>
        <w:t xml:space="preserve"> in Food Science &amp; Technology, 15(10), 474–483. </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Freeman, C. (1979). The determinants of innovation. Futures, 11(3), 206–215.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Batterink</w:t>
      </w:r>
      <w:proofErr w:type="spellEnd"/>
      <w:r w:rsidRPr="003E349A">
        <w:rPr>
          <w:rFonts w:ascii="Cambria" w:hAnsi="Cambria" w:cs="Arial"/>
          <w:lang w:val="en-US"/>
        </w:rPr>
        <w:t xml:space="preserve">, M., </w:t>
      </w:r>
      <w:proofErr w:type="spellStart"/>
      <w:r w:rsidRPr="003E349A">
        <w:rPr>
          <w:rFonts w:ascii="Cambria" w:hAnsi="Cambria" w:cs="Arial"/>
          <w:lang w:val="en-US"/>
        </w:rPr>
        <w:t>Wubben</w:t>
      </w:r>
      <w:proofErr w:type="spellEnd"/>
      <w:r w:rsidRPr="003E349A">
        <w:rPr>
          <w:rFonts w:ascii="Cambria" w:hAnsi="Cambria" w:cs="Arial"/>
          <w:lang w:val="en-US"/>
        </w:rPr>
        <w:t xml:space="preserve">, E., </w:t>
      </w:r>
      <w:proofErr w:type="spellStart"/>
      <w:r w:rsidRPr="003E349A">
        <w:rPr>
          <w:rFonts w:ascii="Cambria" w:hAnsi="Cambria" w:cs="Arial"/>
          <w:lang w:val="en-US"/>
        </w:rPr>
        <w:t>Omta</w:t>
      </w:r>
      <w:proofErr w:type="spellEnd"/>
      <w:r w:rsidRPr="003E349A">
        <w:rPr>
          <w:rFonts w:ascii="Cambria" w:hAnsi="Cambria" w:cs="Arial"/>
          <w:lang w:val="en-US"/>
        </w:rPr>
        <w:t xml:space="preserve">, S. </w:t>
      </w:r>
      <w:r w:rsidR="00962E40">
        <w:rPr>
          <w:rFonts w:ascii="Cambria" w:hAnsi="Cambria" w:cs="Arial"/>
          <w:lang w:val="en-US"/>
        </w:rPr>
        <w:t xml:space="preserve">(2006). </w:t>
      </w:r>
      <w:r w:rsidRPr="003E349A">
        <w:rPr>
          <w:rFonts w:ascii="Cambria" w:hAnsi="Cambria" w:cs="Arial"/>
          <w:lang w:val="en-US"/>
        </w:rPr>
        <w:t xml:space="preserve">Factors related to innovative output in the Dutch </w:t>
      </w:r>
      <w:proofErr w:type="spellStart"/>
      <w:r w:rsidRPr="003E349A">
        <w:rPr>
          <w:rFonts w:ascii="Cambria" w:hAnsi="Cambria" w:cs="Arial"/>
          <w:lang w:val="en-US"/>
        </w:rPr>
        <w:t>agrifood</w:t>
      </w:r>
      <w:proofErr w:type="spellEnd"/>
      <w:r w:rsidRPr="003E349A">
        <w:rPr>
          <w:rFonts w:ascii="Cambria" w:hAnsi="Cambria" w:cs="Arial"/>
          <w:lang w:val="en-US"/>
        </w:rPr>
        <w:t xml:space="preserve"> industry, 2006. Business Administration, Social Sciences Department, </w:t>
      </w:r>
      <w:proofErr w:type="spellStart"/>
      <w:r w:rsidRPr="003E349A">
        <w:rPr>
          <w:rFonts w:ascii="Cambria" w:hAnsi="Cambria" w:cs="Arial"/>
          <w:lang w:val="en-US"/>
        </w:rPr>
        <w:t>Wageningen</w:t>
      </w:r>
      <w:proofErr w:type="spellEnd"/>
      <w:r w:rsidRPr="003E349A">
        <w:rPr>
          <w:rFonts w:ascii="Cambria" w:hAnsi="Cambria" w:cs="Arial"/>
          <w:lang w:val="en-US"/>
        </w:rPr>
        <w:t xml:space="preserve"> University, </w:t>
      </w:r>
      <w:proofErr w:type="spellStart"/>
      <w:r w:rsidRPr="003E349A">
        <w:rPr>
          <w:rFonts w:ascii="Cambria" w:hAnsi="Cambria" w:cs="Arial"/>
          <w:lang w:val="en-US"/>
        </w:rPr>
        <w:t>Hollandseweg</w:t>
      </w:r>
      <w:proofErr w:type="spellEnd"/>
      <w:r w:rsidRPr="003E349A">
        <w:rPr>
          <w:rFonts w:ascii="Cambria" w:hAnsi="Cambria" w:cs="Arial"/>
          <w:lang w:val="en-US"/>
        </w:rPr>
        <w:t xml:space="preserve"> 1, 6706 KN </w:t>
      </w:r>
      <w:proofErr w:type="spellStart"/>
      <w:r w:rsidRPr="003E349A">
        <w:rPr>
          <w:rFonts w:ascii="Cambria" w:hAnsi="Cambria" w:cs="Arial"/>
          <w:lang w:val="en-US"/>
        </w:rPr>
        <w:t>Wageningen</w:t>
      </w:r>
      <w:proofErr w:type="spellEnd"/>
      <w:r w:rsidRPr="003E349A">
        <w:rPr>
          <w:rFonts w:ascii="Cambria" w:hAnsi="Cambria" w:cs="Arial"/>
          <w:lang w:val="en-US"/>
        </w:rPr>
        <w:t>, Netherlands.</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Cabral, J.E.O., </w:t>
      </w:r>
      <w:proofErr w:type="spellStart"/>
      <w:r w:rsidRPr="003E349A">
        <w:rPr>
          <w:rFonts w:ascii="Cambria" w:hAnsi="Cambria" w:cs="Arial"/>
          <w:lang w:val="en-US"/>
        </w:rPr>
        <w:t>Traill</w:t>
      </w:r>
      <w:proofErr w:type="spellEnd"/>
      <w:r w:rsidRPr="003E349A">
        <w:rPr>
          <w:rFonts w:ascii="Cambria" w:hAnsi="Cambria" w:cs="Arial"/>
          <w:lang w:val="en-US"/>
        </w:rPr>
        <w:t xml:space="preserve">, W.B. </w:t>
      </w:r>
      <w:r w:rsidR="00962E40">
        <w:rPr>
          <w:rFonts w:ascii="Cambria" w:hAnsi="Cambria" w:cs="Arial"/>
          <w:lang w:val="en-US"/>
        </w:rPr>
        <w:t xml:space="preserve">(2001). </w:t>
      </w:r>
      <w:r w:rsidRPr="003E349A">
        <w:rPr>
          <w:rFonts w:ascii="Cambria" w:hAnsi="Cambria" w:cs="Arial"/>
          <w:lang w:val="en-US"/>
        </w:rPr>
        <w:t>Determinants of a firm's likelihood to innovate and intensity of innovation in the Brazilian food industry (Article). 2001.</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Mezera</w:t>
      </w:r>
      <w:proofErr w:type="spellEnd"/>
      <w:r w:rsidRPr="003E349A">
        <w:rPr>
          <w:rFonts w:ascii="Cambria" w:hAnsi="Cambria" w:cs="Arial"/>
          <w:lang w:val="en-US"/>
        </w:rPr>
        <w:t xml:space="preserve">, J.  , </w:t>
      </w:r>
      <w:proofErr w:type="spellStart"/>
      <w:r w:rsidRPr="003E349A">
        <w:rPr>
          <w:rFonts w:ascii="Cambria" w:hAnsi="Cambria" w:cs="Arial"/>
          <w:lang w:val="en-US"/>
        </w:rPr>
        <w:t>Němec</w:t>
      </w:r>
      <w:proofErr w:type="spellEnd"/>
      <w:r w:rsidRPr="003E349A">
        <w:rPr>
          <w:rFonts w:ascii="Cambria" w:hAnsi="Cambria" w:cs="Arial"/>
          <w:lang w:val="en-US"/>
        </w:rPr>
        <w:t xml:space="preserve">, R., </w:t>
      </w:r>
      <w:proofErr w:type="spellStart"/>
      <w:r w:rsidRPr="003E349A">
        <w:rPr>
          <w:rFonts w:ascii="Cambria" w:hAnsi="Cambria" w:cs="Arial"/>
          <w:lang w:val="en-US"/>
        </w:rPr>
        <w:t>Špička</w:t>
      </w:r>
      <w:proofErr w:type="spellEnd"/>
      <w:r w:rsidRPr="003E349A">
        <w:rPr>
          <w:rFonts w:ascii="Cambria" w:hAnsi="Cambria" w:cs="Arial"/>
          <w:lang w:val="en-US"/>
        </w:rPr>
        <w:t xml:space="preserve">, J. </w:t>
      </w:r>
      <w:r w:rsidR="00962E40">
        <w:rPr>
          <w:rFonts w:ascii="Cambria" w:hAnsi="Cambria" w:cs="Arial"/>
          <w:lang w:val="en-US"/>
        </w:rPr>
        <w:t>(2014).</w:t>
      </w:r>
      <w:r w:rsidRPr="003E349A">
        <w:rPr>
          <w:rFonts w:ascii="Cambria" w:hAnsi="Cambria" w:cs="Arial"/>
          <w:lang w:val="en-US"/>
        </w:rPr>
        <w:t xml:space="preserve"> Support of strengthening the cooperation and efficiency factors accelerating innovation processes in the food industry (Article). 2014. Agricultural economics. Prague. Czech Republic. Vol 60, Issue 7, pages 295-300. Institute of Agricultural Economics and Information.</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Louis Raymond, </w:t>
      </w:r>
      <w:proofErr w:type="spellStart"/>
      <w:r w:rsidRPr="003E349A">
        <w:rPr>
          <w:rFonts w:ascii="Cambria" w:hAnsi="Cambria" w:cs="Arial"/>
          <w:lang w:val="en-US"/>
        </w:rPr>
        <w:t>Josée</w:t>
      </w:r>
      <w:proofErr w:type="spellEnd"/>
      <w:r w:rsidRPr="003E349A">
        <w:rPr>
          <w:rFonts w:ascii="Cambria" w:hAnsi="Cambria" w:cs="Arial"/>
          <w:lang w:val="en-US"/>
        </w:rPr>
        <w:t xml:space="preserve"> St-Pierre. </w:t>
      </w:r>
      <w:r w:rsidR="00962E40">
        <w:rPr>
          <w:rFonts w:ascii="Cambria" w:hAnsi="Cambria" w:cs="Arial"/>
          <w:lang w:val="en-US"/>
        </w:rPr>
        <w:t>(2010).</w:t>
      </w:r>
      <w:r w:rsidRPr="003E349A">
        <w:rPr>
          <w:rFonts w:ascii="Cambria" w:hAnsi="Cambria" w:cs="Arial"/>
          <w:lang w:val="en-US"/>
        </w:rPr>
        <w:t xml:space="preserve"> R&amp;D as a determinant of innovation in manufacturing SMEs: An attempt at empirical clarification. </w:t>
      </w:r>
      <w:proofErr w:type="spellStart"/>
      <w:r w:rsidRPr="003E349A">
        <w:rPr>
          <w:rFonts w:ascii="Cambria" w:hAnsi="Cambria" w:cs="Arial"/>
          <w:lang w:val="en-US"/>
        </w:rPr>
        <w:t>Technovation</w:t>
      </w:r>
      <w:proofErr w:type="spellEnd"/>
      <w:r w:rsidRPr="003E349A">
        <w:rPr>
          <w:rFonts w:ascii="Cambria" w:hAnsi="Cambria" w:cs="Arial"/>
          <w:lang w:val="en-US"/>
        </w:rPr>
        <w:t>, Volume 30, Issue 1, January 2010, Pages 48-56.</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Kühne</w:t>
      </w:r>
      <w:proofErr w:type="spellEnd"/>
      <w:r w:rsidRPr="003E349A">
        <w:rPr>
          <w:rFonts w:ascii="Cambria" w:hAnsi="Cambria" w:cs="Arial"/>
          <w:lang w:val="en-US"/>
        </w:rPr>
        <w:t xml:space="preserve">, V. Lefebvre, C. </w:t>
      </w:r>
      <w:proofErr w:type="spellStart"/>
      <w:r w:rsidRPr="003E349A">
        <w:rPr>
          <w:rFonts w:ascii="Cambria" w:hAnsi="Cambria" w:cs="Arial"/>
          <w:lang w:val="en-US"/>
        </w:rPr>
        <w:t>Cochez</w:t>
      </w:r>
      <w:proofErr w:type="spellEnd"/>
      <w:r w:rsidRPr="003E349A">
        <w:rPr>
          <w:rFonts w:ascii="Cambria" w:hAnsi="Cambria" w:cs="Arial"/>
          <w:lang w:val="en-US"/>
        </w:rPr>
        <w:t xml:space="preserve">, X. </w:t>
      </w:r>
      <w:proofErr w:type="spellStart"/>
      <w:r w:rsidRPr="003E349A">
        <w:rPr>
          <w:rFonts w:ascii="Cambria" w:hAnsi="Cambria" w:cs="Arial"/>
          <w:lang w:val="en-US"/>
        </w:rPr>
        <w:t>Gellynck</w:t>
      </w:r>
      <w:proofErr w:type="spellEnd"/>
      <w:r w:rsidRPr="003E349A">
        <w:rPr>
          <w:rFonts w:ascii="Cambria" w:hAnsi="Cambria" w:cs="Arial"/>
          <w:lang w:val="en-US"/>
        </w:rPr>
        <w:t xml:space="preserve">. </w:t>
      </w:r>
      <w:r w:rsidR="00962E40">
        <w:rPr>
          <w:rFonts w:ascii="Cambria" w:hAnsi="Cambria" w:cs="Arial"/>
          <w:lang w:val="en-US"/>
        </w:rPr>
        <w:t xml:space="preserve">(2013). </w:t>
      </w:r>
      <w:r w:rsidRPr="003E349A">
        <w:rPr>
          <w:rFonts w:ascii="Cambria" w:hAnsi="Cambria" w:cs="Arial"/>
          <w:lang w:val="en-US"/>
        </w:rPr>
        <w:t xml:space="preserve">The importance of networks for knowledge exchange and innovation in the food industry. Open Innovation in the Food and Beverage Industry, 2013, Pages 189-211B.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Omta</w:t>
      </w:r>
      <w:proofErr w:type="spellEnd"/>
      <w:r w:rsidRPr="003E349A">
        <w:rPr>
          <w:rFonts w:ascii="Cambria" w:hAnsi="Cambria" w:cs="Arial"/>
          <w:lang w:val="en-US"/>
        </w:rPr>
        <w:t xml:space="preserve">, S.W.F., Fortuin F.T.J.M. </w:t>
      </w:r>
      <w:r w:rsidR="00962E40">
        <w:rPr>
          <w:rFonts w:ascii="Cambria" w:hAnsi="Cambria" w:cs="Arial"/>
          <w:lang w:val="en-US"/>
        </w:rPr>
        <w:t xml:space="preserve">(2013). </w:t>
      </w:r>
      <w:r w:rsidRPr="003E349A">
        <w:rPr>
          <w:rFonts w:ascii="Cambria" w:hAnsi="Cambria" w:cs="Arial"/>
          <w:lang w:val="en-US"/>
        </w:rPr>
        <w:t>Effectiveness of cluster organizations in facilitating open innovation in regional innovation systems: the case of Food Valley in the Netherlands.  Open Innovation in the Food and Beverage Industry, 2013, Pages 174-188.</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Bigliardi</w:t>
      </w:r>
      <w:proofErr w:type="spellEnd"/>
      <w:r w:rsidRPr="003E349A">
        <w:rPr>
          <w:rFonts w:ascii="Cambria" w:hAnsi="Cambria" w:cs="Arial"/>
          <w:lang w:val="en-US"/>
        </w:rPr>
        <w:t xml:space="preserve">, B., &amp; Galati, F. (2013). Models of adoption of open innovation within the food industry. Trends in Food Science &amp; Technology, 30(1), 16–26. </w:t>
      </w:r>
    </w:p>
    <w:p w:rsidR="00B46BD2" w:rsidRPr="003E349A" w:rsidRDefault="00B46BD2" w:rsidP="009E07A8">
      <w:pPr>
        <w:spacing w:after="120" w:line="240" w:lineRule="auto"/>
        <w:jc w:val="both"/>
        <w:rPr>
          <w:rFonts w:ascii="Cambria" w:hAnsi="Cambria" w:cs="Arial"/>
          <w:lang w:val="en-US"/>
        </w:rPr>
      </w:pPr>
      <w:r w:rsidRPr="00606A85">
        <w:rPr>
          <w:rFonts w:ascii="Cambria" w:hAnsi="Cambria" w:cs="Arial"/>
        </w:rPr>
        <w:t xml:space="preserve">Acosta, M., Coronado, D., &amp; Toribio, M. R. (2011). </w:t>
      </w:r>
      <w:r w:rsidRPr="003E349A">
        <w:rPr>
          <w:rFonts w:ascii="Cambria" w:hAnsi="Cambria" w:cs="Arial"/>
          <w:lang w:val="en-US"/>
        </w:rPr>
        <w:t xml:space="preserve">The use of scientific knowledge by Spanish </w:t>
      </w:r>
      <w:proofErr w:type="spellStart"/>
      <w:r w:rsidRPr="003E349A">
        <w:rPr>
          <w:rFonts w:ascii="Cambria" w:hAnsi="Cambria" w:cs="Arial"/>
          <w:lang w:val="en-US"/>
        </w:rPr>
        <w:t>agrifood</w:t>
      </w:r>
      <w:proofErr w:type="spellEnd"/>
      <w:r w:rsidRPr="003E349A">
        <w:rPr>
          <w:rFonts w:ascii="Cambria" w:hAnsi="Cambria" w:cs="Arial"/>
          <w:lang w:val="en-US"/>
        </w:rPr>
        <w:t xml:space="preserve"> firms. Food Policy, 36(4), 507–516.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lastRenderedPageBreak/>
        <w:t>Bombaywala</w:t>
      </w:r>
      <w:proofErr w:type="spellEnd"/>
      <w:r w:rsidRPr="003E349A">
        <w:rPr>
          <w:rFonts w:ascii="Cambria" w:hAnsi="Cambria" w:cs="Arial"/>
          <w:lang w:val="en-US"/>
        </w:rPr>
        <w:t xml:space="preserve">, M., &amp; </w:t>
      </w:r>
      <w:proofErr w:type="spellStart"/>
      <w:r w:rsidRPr="003E349A">
        <w:rPr>
          <w:rFonts w:ascii="Cambria" w:hAnsi="Cambria" w:cs="Arial"/>
          <w:lang w:val="en-US"/>
        </w:rPr>
        <w:t>Riandita</w:t>
      </w:r>
      <w:proofErr w:type="spellEnd"/>
      <w:r w:rsidRPr="003E349A">
        <w:rPr>
          <w:rFonts w:ascii="Cambria" w:hAnsi="Cambria" w:cs="Arial"/>
          <w:lang w:val="en-US"/>
        </w:rPr>
        <w:t>, A. (2015). Stakeholders’ Collaboration on Innovation in Food Industry. Procedia - Social and Behavioral Sciences, 169(August 2014), 395–399. http://doi.org/10.1016/j.sbspro.2015.01.325</w:t>
      </w:r>
      <w:r w:rsidR="009E07A8">
        <w:rPr>
          <w:rFonts w:ascii="Cambria" w:hAnsi="Cambria" w:cs="Arial"/>
          <w:lang w:val="en-US"/>
        </w:rPr>
        <w:t>.</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Amara, N., &amp; Landry, R. (2005). Sources of information as determinants of novelty of innovation in manufacturing firms: evidence from the 1999 statistics Canada innovation survey. </w:t>
      </w:r>
      <w:proofErr w:type="spellStart"/>
      <w:r w:rsidRPr="003E349A">
        <w:rPr>
          <w:rFonts w:ascii="Cambria" w:hAnsi="Cambria" w:cs="Arial"/>
          <w:lang w:val="en-US"/>
        </w:rPr>
        <w:t>Technovation</w:t>
      </w:r>
      <w:proofErr w:type="spellEnd"/>
      <w:r w:rsidRPr="003E349A">
        <w:rPr>
          <w:rFonts w:ascii="Cambria" w:hAnsi="Cambria" w:cs="Arial"/>
          <w:lang w:val="en-US"/>
        </w:rPr>
        <w:t xml:space="preserve">, 25(3), 245–259.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Bogliacino</w:t>
      </w:r>
      <w:proofErr w:type="spellEnd"/>
      <w:r w:rsidRPr="003E349A">
        <w:rPr>
          <w:rFonts w:ascii="Cambria" w:hAnsi="Cambria" w:cs="Arial"/>
          <w:lang w:val="en-US"/>
        </w:rPr>
        <w:t xml:space="preserve">, F., &amp; </w:t>
      </w:r>
      <w:proofErr w:type="spellStart"/>
      <w:r w:rsidRPr="003E349A">
        <w:rPr>
          <w:rFonts w:ascii="Cambria" w:hAnsi="Cambria" w:cs="Arial"/>
          <w:lang w:val="en-US"/>
        </w:rPr>
        <w:t>Pianta</w:t>
      </w:r>
      <w:proofErr w:type="spellEnd"/>
      <w:r w:rsidRPr="003E349A">
        <w:rPr>
          <w:rFonts w:ascii="Cambria" w:hAnsi="Cambria" w:cs="Arial"/>
          <w:lang w:val="en-US"/>
        </w:rPr>
        <w:t xml:space="preserve">, M. (2011). Engines of growth. Innovation and productivity in industry groups. Structural Change and Economic Dynamics, 22(1), 41–53. </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Kemp, S. E. (2013). Open Innovation in the Food and Beverage Industry. Open Innovation in the Food and Beverage Industry, 109–138. </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 xml:space="preserve">Kang, K. H., &amp; Kang, J. (2010). Does partner type matter in R&amp;D collaboration for product innovation? Technology Analysis &amp; Strategic Management, 22(8), 945–959.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Adeoti</w:t>
      </w:r>
      <w:proofErr w:type="spellEnd"/>
      <w:r w:rsidRPr="003E349A">
        <w:rPr>
          <w:rFonts w:ascii="Cambria" w:hAnsi="Cambria" w:cs="Arial"/>
          <w:lang w:val="en-US"/>
        </w:rPr>
        <w:t xml:space="preserve">, J. O. (2012). Technology-related factors as determinants of export potential of Nigerian manufacturing firms. Structural Change and Economic Dynamics, 23(4), 487–503. </w:t>
      </w:r>
    </w:p>
    <w:p w:rsidR="00B46BD2" w:rsidRPr="003E349A" w:rsidRDefault="00B46BD2" w:rsidP="009E07A8">
      <w:pPr>
        <w:spacing w:after="120" w:line="240" w:lineRule="auto"/>
        <w:jc w:val="both"/>
        <w:rPr>
          <w:rFonts w:ascii="Cambria" w:hAnsi="Cambria" w:cs="Arial"/>
        </w:rPr>
      </w:pPr>
      <w:proofErr w:type="spellStart"/>
      <w:r w:rsidRPr="003E349A">
        <w:rPr>
          <w:rFonts w:ascii="Cambria" w:hAnsi="Cambria" w:cs="Arial"/>
          <w:lang w:val="en-US"/>
        </w:rPr>
        <w:t>Huergo</w:t>
      </w:r>
      <w:proofErr w:type="spellEnd"/>
      <w:r w:rsidRPr="003E349A">
        <w:rPr>
          <w:rFonts w:ascii="Cambria" w:hAnsi="Cambria" w:cs="Arial"/>
          <w:lang w:val="en-US"/>
        </w:rPr>
        <w:t xml:space="preserve">, E. (2006). The role of technological management as a source of innovation: Evidence from Spanish manufacturing firms. </w:t>
      </w:r>
      <w:proofErr w:type="spellStart"/>
      <w:r w:rsidRPr="003E349A">
        <w:rPr>
          <w:rFonts w:ascii="Cambria" w:hAnsi="Cambria" w:cs="Arial"/>
        </w:rPr>
        <w:t>Research</w:t>
      </w:r>
      <w:proofErr w:type="spellEnd"/>
      <w:r w:rsidRPr="003E349A">
        <w:rPr>
          <w:rFonts w:ascii="Cambria" w:hAnsi="Cambria" w:cs="Arial"/>
        </w:rPr>
        <w:t xml:space="preserve"> </w:t>
      </w:r>
      <w:proofErr w:type="spellStart"/>
      <w:r w:rsidRPr="003E349A">
        <w:rPr>
          <w:rFonts w:ascii="Cambria" w:hAnsi="Cambria" w:cs="Arial"/>
        </w:rPr>
        <w:t>Policy</w:t>
      </w:r>
      <w:proofErr w:type="spellEnd"/>
      <w:r w:rsidRPr="003E349A">
        <w:rPr>
          <w:rFonts w:ascii="Cambria" w:hAnsi="Cambria" w:cs="Arial"/>
        </w:rPr>
        <w:t xml:space="preserve">, 35(9), 1377–1388. </w:t>
      </w:r>
    </w:p>
    <w:p w:rsidR="00B46BD2" w:rsidRPr="003E349A" w:rsidRDefault="00B46BD2" w:rsidP="009E07A8">
      <w:pPr>
        <w:spacing w:after="120" w:line="240" w:lineRule="auto"/>
        <w:jc w:val="both"/>
        <w:rPr>
          <w:rFonts w:ascii="Cambria" w:hAnsi="Cambria" w:cs="Arial"/>
        </w:rPr>
      </w:pPr>
      <w:r w:rsidRPr="003E349A">
        <w:rPr>
          <w:rFonts w:ascii="Cambria" w:hAnsi="Cambria" w:cs="Arial"/>
        </w:rPr>
        <w:t>Red de Indicadores de Ciencia y Tecnología (RICYT).</w:t>
      </w:r>
      <w:r w:rsidRPr="0095784C">
        <w:rPr>
          <w:rFonts w:ascii="Cambria" w:hAnsi="Cambria" w:cs="Arial"/>
        </w:rPr>
        <w:t xml:space="preserve"> </w:t>
      </w:r>
      <w:hyperlink r:id="rId9" w:history="1">
        <w:r w:rsidRPr="0095784C">
          <w:rPr>
            <w:rStyle w:val="Hipervnculo"/>
            <w:rFonts w:ascii="Cambria" w:hAnsi="Cambria" w:cs="Arial"/>
            <w:color w:val="auto"/>
          </w:rPr>
          <w:t>http://db.ricyt.org/</w:t>
        </w:r>
      </w:hyperlink>
      <w:r w:rsidRPr="003E349A">
        <w:rPr>
          <w:rFonts w:ascii="Cambria" w:hAnsi="Cambria" w:cs="Arial"/>
        </w:rPr>
        <w:t>.</w:t>
      </w:r>
    </w:p>
    <w:p w:rsidR="00B46BD2" w:rsidRPr="003E349A" w:rsidRDefault="00B46BD2" w:rsidP="009E07A8">
      <w:pPr>
        <w:spacing w:after="120" w:line="240" w:lineRule="auto"/>
        <w:jc w:val="both"/>
        <w:rPr>
          <w:rFonts w:ascii="Cambria" w:hAnsi="Cambria" w:cs="Arial"/>
        </w:rPr>
      </w:pPr>
      <w:r w:rsidRPr="003E349A">
        <w:rPr>
          <w:rFonts w:ascii="Cambria" w:hAnsi="Cambria" w:cs="Arial"/>
        </w:rPr>
        <w:t xml:space="preserve">Muñoz, M., Altamirano, R., Aguilar, J., </w:t>
      </w:r>
      <w:proofErr w:type="spellStart"/>
      <w:r w:rsidRPr="003E349A">
        <w:rPr>
          <w:rFonts w:ascii="Cambria" w:hAnsi="Cambria" w:cs="Arial"/>
        </w:rPr>
        <w:t>Rend</w:t>
      </w:r>
      <w:proofErr w:type="spellEnd"/>
      <w:r w:rsidRPr="003E349A">
        <w:rPr>
          <w:rFonts w:ascii="Cambria" w:hAnsi="Cambria" w:cs="Arial"/>
        </w:rPr>
        <w:t xml:space="preserve">, R., Anastasio, M., &amp; </w:t>
      </w:r>
      <w:proofErr w:type="spellStart"/>
      <w:r w:rsidRPr="003E349A">
        <w:rPr>
          <w:rFonts w:ascii="Cambria" w:hAnsi="Cambria" w:cs="Arial"/>
        </w:rPr>
        <w:t>Garc</w:t>
      </w:r>
      <w:proofErr w:type="spellEnd"/>
      <w:r w:rsidRPr="003E349A">
        <w:rPr>
          <w:rFonts w:ascii="Cambria" w:hAnsi="Cambria" w:cs="Arial"/>
        </w:rPr>
        <w:t xml:space="preserve">, E. (2007). Innovación: motor de la competitividad agroalimentaria (pp. 4–5). </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rPr>
        <w:t>Marques</w:t>
      </w:r>
      <w:proofErr w:type="spellEnd"/>
      <w:r w:rsidRPr="003E349A">
        <w:rPr>
          <w:rFonts w:ascii="Cambria" w:hAnsi="Cambria" w:cs="Arial"/>
        </w:rPr>
        <w:t xml:space="preserve">, J. P. C., </w:t>
      </w:r>
      <w:proofErr w:type="spellStart"/>
      <w:r w:rsidRPr="003E349A">
        <w:rPr>
          <w:rFonts w:ascii="Cambria" w:hAnsi="Cambria" w:cs="Arial"/>
        </w:rPr>
        <w:t>Caraça</w:t>
      </w:r>
      <w:proofErr w:type="spellEnd"/>
      <w:r w:rsidRPr="003E349A">
        <w:rPr>
          <w:rFonts w:ascii="Cambria" w:hAnsi="Cambria" w:cs="Arial"/>
        </w:rPr>
        <w:t xml:space="preserve">, J. M. G., &amp; </w:t>
      </w:r>
      <w:proofErr w:type="spellStart"/>
      <w:r w:rsidRPr="003E349A">
        <w:rPr>
          <w:rFonts w:ascii="Cambria" w:hAnsi="Cambria" w:cs="Arial"/>
        </w:rPr>
        <w:t>Diz</w:t>
      </w:r>
      <w:proofErr w:type="spellEnd"/>
      <w:r w:rsidRPr="003E349A">
        <w:rPr>
          <w:rFonts w:ascii="Cambria" w:hAnsi="Cambria" w:cs="Arial"/>
        </w:rPr>
        <w:t xml:space="preserve">, H. (2006). </w:t>
      </w:r>
      <w:r w:rsidRPr="003E349A">
        <w:rPr>
          <w:rFonts w:ascii="Cambria" w:hAnsi="Cambria" w:cs="Arial"/>
          <w:lang w:val="en-US"/>
        </w:rPr>
        <w:t xml:space="preserve">How can university–industry–government interactions change the innovation scenario in </w:t>
      </w:r>
      <w:proofErr w:type="gramStart"/>
      <w:r w:rsidRPr="003E349A">
        <w:rPr>
          <w:rFonts w:ascii="Cambria" w:hAnsi="Cambria" w:cs="Arial"/>
          <w:lang w:val="en-US"/>
        </w:rPr>
        <w:t>Portugal?.</w:t>
      </w:r>
      <w:proofErr w:type="gramEnd"/>
      <w:r w:rsidRPr="003E349A">
        <w:rPr>
          <w:rFonts w:ascii="Cambria" w:hAnsi="Cambria" w:cs="Arial"/>
          <w:lang w:val="en-US"/>
        </w:rPr>
        <w:t xml:space="preserve"> The case of the University of Coimbra. </w:t>
      </w:r>
      <w:proofErr w:type="spellStart"/>
      <w:r w:rsidRPr="003E349A">
        <w:rPr>
          <w:rFonts w:ascii="Cambria" w:hAnsi="Cambria" w:cs="Arial"/>
          <w:lang w:val="en-US"/>
        </w:rPr>
        <w:t>Technovation</w:t>
      </w:r>
      <w:proofErr w:type="spellEnd"/>
      <w:r w:rsidRPr="003E349A">
        <w:rPr>
          <w:rFonts w:ascii="Cambria" w:hAnsi="Cambria" w:cs="Arial"/>
          <w:lang w:val="en-US"/>
        </w:rPr>
        <w:t>, 26(4), 534–542.</w:t>
      </w:r>
    </w:p>
    <w:p w:rsidR="00B46BD2" w:rsidRPr="003E349A" w:rsidRDefault="00B46BD2" w:rsidP="009E07A8">
      <w:pPr>
        <w:spacing w:after="120" w:line="240" w:lineRule="auto"/>
        <w:jc w:val="both"/>
        <w:rPr>
          <w:rFonts w:ascii="Cambria" w:hAnsi="Cambria" w:cs="Arial"/>
          <w:lang w:val="en-US"/>
        </w:rPr>
      </w:pPr>
      <w:proofErr w:type="spellStart"/>
      <w:r w:rsidRPr="003E349A">
        <w:rPr>
          <w:rFonts w:ascii="Cambria" w:hAnsi="Cambria" w:cs="Arial"/>
          <w:lang w:val="en-US"/>
        </w:rPr>
        <w:t>Perdana</w:t>
      </w:r>
      <w:proofErr w:type="spellEnd"/>
      <w:r w:rsidRPr="003E349A">
        <w:rPr>
          <w:rFonts w:ascii="Cambria" w:hAnsi="Cambria" w:cs="Arial"/>
          <w:lang w:val="en-US"/>
        </w:rPr>
        <w:t xml:space="preserve">, T. (2012). The Triple Helix Model for Fruits and Vegetables Supply Chain Management Development Involving Small Farmers in Order to Fulfill the Global Market Demand: A Case Study in “Value Chain Center (VCC) </w:t>
      </w:r>
      <w:proofErr w:type="spellStart"/>
      <w:r w:rsidRPr="003E349A">
        <w:rPr>
          <w:rFonts w:ascii="Cambria" w:hAnsi="Cambria" w:cs="Arial"/>
          <w:lang w:val="en-US"/>
        </w:rPr>
        <w:t>Universitas</w:t>
      </w:r>
      <w:proofErr w:type="spellEnd"/>
      <w:r w:rsidRPr="003E349A">
        <w:rPr>
          <w:rFonts w:ascii="Cambria" w:hAnsi="Cambria" w:cs="Arial"/>
          <w:lang w:val="en-US"/>
        </w:rPr>
        <w:t xml:space="preserve"> </w:t>
      </w:r>
      <w:proofErr w:type="spellStart"/>
      <w:r w:rsidRPr="003E349A">
        <w:rPr>
          <w:rFonts w:ascii="Cambria" w:hAnsi="Cambria" w:cs="Arial"/>
          <w:lang w:val="en-US"/>
        </w:rPr>
        <w:t>Padjadjaran</w:t>
      </w:r>
      <w:proofErr w:type="spellEnd"/>
      <w:r w:rsidRPr="003E349A">
        <w:rPr>
          <w:rFonts w:ascii="Cambria" w:hAnsi="Cambria" w:cs="Arial"/>
          <w:lang w:val="en-US"/>
        </w:rPr>
        <w:t xml:space="preserve">.” Procedia - Social and Behavioral Sciences, 52, 80–89. </w:t>
      </w:r>
      <w:hyperlink r:id="rId10" w:history="1">
        <w:r w:rsidRPr="0095784C">
          <w:rPr>
            <w:rStyle w:val="Hipervnculo"/>
            <w:rFonts w:ascii="Cambria" w:hAnsi="Cambria" w:cs="Arial"/>
            <w:color w:val="auto"/>
            <w:lang w:val="en-US"/>
          </w:rPr>
          <w:t>http://doi.org/10.1016/j.sbspro.2012.09.444</w:t>
        </w:r>
      </w:hyperlink>
      <w:r w:rsidRPr="0095784C">
        <w:rPr>
          <w:rFonts w:ascii="Cambria" w:hAnsi="Cambria" w:cs="Arial"/>
          <w:lang w:val="en-US"/>
        </w:rPr>
        <w:t>.</w:t>
      </w:r>
    </w:p>
    <w:p w:rsidR="00B46BD2" w:rsidRPr="00606A85" w:rsidRDefault="00B46BD2" w:rsidP="009E07A8">
      <w:pPr>
        <w:spacing w:after="120" w:line="240" w:lineRule="auto"/>
        <w:jc w:val="both"/>
        <w:rPr>
          <w:rFonts w:ascii="Cambria" w:hAnsi="Cambria" w:cs="Arial"/>
        </w:rPr>
      </w:pPr>
      <w:r w:rsidRPr="003E349A">
        <w:rPr>
          <w:rFonts w:ascii="Cambria" w:hAnsi="Cambria" w:cs="Arial"/>
          <w:lang w:val="en-US"/>
        </w:rPr>
        <w:t xml:space="preserve">Jensen, M. B., Johnson, B., Lorenz, E., &amp; Lundvall, B. Å. (2007). Forms of knowledge and modes of innovation. </w:t>
      </w:r>
      <w:proofErr w:type="spellStart"/>
      <w:r w:rsidRPr="00606A85">
        <w:rPr>
          <w:rFonts w:ascii="Cambria" w:hAnsi="Cambria" w:cs="Arial"/>
        </w:rPr>
        <w:t>Research</w:t>
      </w:r>
      <w:proofErr w:type="spellEnd"/>
      <w:r w:rsidRPr="00606A85">
        <w:rPr>
          <w:rFonts w:ascii="Cambria" w:hAnsi="Cambria" w:cs="Arial"/>
        </w:rPr>
        <w:t xml:space="preserve"> </w:t>
      </w:r>
      <w:proofErr w:type="spellStart"/>
      <w:r w:rsidRPr="00606A85">
        <w:rPr>
          <w:rFonts w:ascii="Cambria" w:hAnsi="Cambria" w:cs="Arial"/>
        </w:rPr>
        <w:t>Policy</w:t>
      </w:r>
      <w:proofErr w:type="spellEnd"/>
      <w:r w:rsidRPr="00606A85">
        <w:rPr>
          <w:rFonts w:ascii="Cambria" w:hAnsi="Cambria" w:cs="Arial"/>
        </w:rPr>
        <w:t xml:space="preserve">, 36(5), 680–693. </w:t>
      </w:r>
    </w:p>
    <w:p w:rsidR="00B46BD2" w:rsidRPr="003E349A" w:rsidRDefault="00B46BD2" w:rsidP="009E07A8">
      <w:pPr>
        <w:spacing w:after="120" w:line="240" w:lineRule="auto"/>
        <w:jc w:val="both"/>
        <w:rPr>
          <w:rFonts w:ascii="Cambria" w:hAnsi="Cambria" w:cs="Arial"/>
        </w:rPr>
      </w:pPr>
      <w:r w:rsidRPr="003E349A">
        <w:rPr>
          <w:rFonts w:ascii="Cambria" w:hAnsi="Cambria" w:cs="Arial"/>
        </w:rPr>
        <w:t xml:space="preserve">Suárez, D., &amp; De </w:t>
      </w:r>
      <w:proofErr w:type="spellStart"/>
      <w:r w:rsidRPr="003E349A">
        <w:rPr>
          <w:rFonts w:ascii="Cambria" w:hAnsi="Cambria" w:cs="Arial"/>
        </w:rPr>
        <w:t>Angelis</w:t>
      </w:r>
      <w:proofErr w:type="spellEnd"/>
      <w:r w:rsidRPr="003E349A">
        <w:rPr>
          <w:rFonts w:ascii="Cambria" w:hAnsi="Cambria" w:cs="Arial"/>
        </w:rPr>
        <w:t xml:space="preserve">, J. (2010). Encuesta de investigación, desarrollo e innovación en el sector privado de Panamá. </w:t>
      </w:r>
      <w:proofErr w:type="spellStart"/>
      <w:r w:rsidRPr="003E349A">
        <w:rPr>
          <w:rFonts w:ascii="Cambria" w:hAnsi="Cambria" w:cs="Arial"/>
        </w:rPr>
        <w:t>Senacyt</w:t>
      </w:r>
      <w:proofErr w:type="spellEnd"/>
      <w:r w:rsidRPr="003E349A">
        <w:rPr>
          <w:rFonts w:ascii="Cambria" w:hAnsi="Cambria" w:cs="Arial"/>
        </w:rPr>
        <w:t>. Panamá.</w:t>
      </w:r>
    </w:p>
    <w:p w:rsidR="00B46BD2" w:rsidRPr="003E349A" w:rsidRDefault="00B46BD2" w:rsidP="009E07A8">
      <w:pPr>
        <w:spacing w:after="120" w:line="240" w:lineRule="auto"/>
        <w:jc w:val="both"/>
        <w:rPr>
          <w:rFonts w:ascii="Cambria" w:hAnsi="Cambria" w:cs="Arial"/>
        </w:rPr>
      </w:pPr>
      <w:proofErr w:type="spellStart"/>
      <w:r w:rsidRPr="003E349A">
        <w:rPr>
          <w:rFonts w:ascii="Cambria" w:hAnsi="Cambria" w:cs="Arial"/>
        </w:rPr>
        <w:t>Pittí</w:t>
      </w:r>
      <w:proofErr w:type="spellEnd"/>
      <w:r w:rsidRPr="003E349A">
        <w:rPr>
          <w:rFonts w:ascii="Cambria" w:hAnsi="Cambria" w:cs="Arial"/>
        </w:rPr>
        <w:t>, Y., Guillén, V., Tejedor, W. (2013). Caracterización de empresas agroindustriales alimentarias de Panamá. Instituto Interamericano de Cooperación para la Agricultura. Ministerio de Comercio e Industrias. Universidad Tecnológica de Panamá.</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rPr>
        <w:t xml:space="preserve">De Gracia, M., </w:t>
      </w:r>
      <w:proofErr w:type="spellStart"/>
      <w:r w:rsidRPr="003E349A">
        <w:rPr>
          <w:rFonts w:ascii="Cambria" w:hAnsi="Cambria" w:cs="Arial"/>
        </w:rPr>
        <w:t>Pittí</w:t>
      </w:r>
      <w:proofErr w:type="spellEnd"/>
      <w:r w:rsidRPr="003E349A">
        <w:rPr>
          <w:rFonts w:ascii="Cambria" w:hAnsi="Cambria" w:cs="Arial"/>
        </w:rPr>
        <w:t xml:space="preserve">, Y., Guillén, V., Tejedor, W. (2014). Propuestas de iniciativas para el establecimiento de políticas que promuevan la innovación en el sector agrícola. </w:t>
      </w:r>
      <w:r w:rsidRPr="003E349A">
        <w:rPr>
          <w:rFonts w:ascii="Cambria" w:hAnsi="Cambria" w:cs="Arial"/>
          <w:lang w:val="en-US"/>
        </w:rPr>
        <w:t>BID. Panamá.</w:t>
      </w:r>
    </w:p>
    <w:p w:rsidR="00B46BD2" w:rsidRPr="003E349A" w:rsidRDefault="00B46BD2" w:rsidP="009E07A8">
      <w:pPr>
        <w:spacing w:after="120" w:line="240" w:lineRule="auto"/>
        <w:jc w:val="both"/>
        <w:rPr>
          <w:rFonts w:ascii="Cambria" w:hAnsi="Cambria" w:cs="Arial"/>
          <w:lang w:val="en-US"/>
        </w:rPr>
      </w:pPr>
      <w:r w:rsidRPr="003E349A">
        <w:rPr>
          <w:rFonts w:ascii="Cambria" w:hAnsi="Cambria" w:cs="Arial"/>
          <w:lang w:val="en-US"/>
        </w:rPr>
        <w:t>The Global Competitiveness Index. http://reports.weforum.org/global-competitiveness-report-2014-2015/rankings/.</w:t>
      </w:r>
    </w:p>
    <w:p w:rsidR="00B46BD2" w:rsidRPr="003E349A" w:rsidRDefault="00B46BD2" w:rsidP="009E07A8">
      <w:pPr>
        <w:spacing w:after="120" w:line="240" w:lineRule="auto"/>
        <w:jc w:val="both"/>
        <w:rPr>
          <w:rFonts w:ascii="Cambria" w:hAnsi="Cambria" w:cs="Arial"/>
          <w:lang w:val="es-PA"/>
        </w:rPr>
      </w:pPr>
      <w:r w:rsidRPr="003E349A">
        <w:rPr>
          <w:rFonts w:ascii="Cambria" w:hAnsi="Cambria" w:cs="Arial"/>
        </w:rPr>
        <w:t xml:space="preserve">Gobierno Nacional y </w:t>
      </w:r>
      <w:proofErr w:type="spellStart"/>
      <w:r w:rsidRPr="003E349A">
        <w:rPr>
          <w:rFonts w:ascii="Cambria" w:hAnsi="Cambria" w:cs="Arial"/>
        </w:rPr>
        <w:t>Senacyt</w:t>
      </w:r>
      <w:proofErr w:type="spellEnd"/>
      <w:r w:rsidRPr="003E349A">
        <w:rPr>
          <w:rFonts w:ascii="Cambria" w:hAnsi="Cambria" w:cs="Arial"/>
        </w:rPr>
        <w:t xml:space="preserve">. (2015). Política Nacional de Ciencia, Tecnología e Innovación de Panamá y Plan Nacional 2015-2019. </w:t>
      </w:r>
      <w:r w:rsidRPr="003E349A">
        <w:rPr>
          <w:rFonts w:ascii="Cambria" w:hAnsi="Cambria" w:cs="Arial"/>
          <w:lang w:val="es-PA"/>
        </w:rPr>
        <w:t>Marzo, 2015.</w:t>
      </w:r>
    </w:p>
    <w:p w:rsidR="00B46BD2" w:rsidRPr="003E349A" w:rsidRDefault="00B46BD2" w:rsidP="003E349A">
      <w:pPr>
        <w:spacing w:line="240" w:lineRule="auto"/>
        <w:jc w:val="both"/>
        <w:rPr>
          <w:rFonts w:ascii="Cambria" w:hAnsi="Cambria" w:cs="Arial"/>
        </w:rPr>
      </w:pPr>
      <w:proofErr w:type="spellStart"/>
      <w:r w:rsidRPr="003E349A">
        <w:rPr>
          <w:rFonts w:ascii="Cambria" w:hAnsi="Cambria" w:cs="Arial"/>
        </w:rPr>
        <w:t>Pitti</w:t>
      </w:r>
      <w:proofErr w:type="spellEnd"/>
      <w:r w:rsidRPr="003E349A">
        <w:rPr>
          <w:rFonts w:ascii="Cambria" w:hAnsi="Cambria" w:cs="Arial"/>
        </w:rPr>
        <w:t>, Y., Guillén, V. (2012). Diagnóstico del sistema de innovación del sector agroindustrial de Panamá. CEPIA, UTP. 2012.</w:t>
      </w:r>
    </w:p>
    <w:p w:rsidR="00146276" w:rsidRPr="003E349A" w:rsidRDefault="00146276" w:rsidP="00B46BD2">
      <w:pPr>
        <w:rPr>
          <w:rFonts w:ascii="Cambria" w:hAnsi="Cambria"/>
        </w:rPr>
      </w:pPr>
    </w:p>
    <w:sectPr w:rsidR="00146276" w:rsidRPr="003E349A" w:rsidSect="004C16C7">
      <w:pgSz w:w="11906" w:h="16838"/>
      <w:pgMar w:top="108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3D18"/>
    <w:multiLevelType w:val="hybridMultilevel"/>
    <w:tmpl w:val="0C3E1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DC6FF0"/>
    <w:multiLevelType w:val="multilevel"/>
    <w:tmpl w:val="E0EC5514"/>
    <w:lvl w:ilvl="0">
      <w:start w:val="1"/>
      <w:numFmt w:val="decimal"/>
      <w:lvlText w:val="%1."/>
      <w:lvlJc w:val="left"/>
      <w:pPr>
        <w:ind w:left="1776" w:hanging="360"/>
      </w:pPr>
      <w:rPr>
        <w:rFonts w:hint="default"/>
      </w:rPr>
    </w:lvl>
    <w:lvl w:ilvl="1">
      <w:start w:val="1"/>
      <w:numFmt w:val="lowerLetter"/>
      <w:lvlText w:val="%2."/>
      <w:lvlJc w:val="left"/>
      <w:pPr>
        <w:ind w:left="1896" w:hanging="480"/>
      </w:pPr>
      <w:rPr>
        <w:rFonts w:hint="default"/>
        <w:strike w:val="0"/>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 w15:restartNumberingAfterBreak="0">
    <w:nsid w:val="36F50450"/>
    <w:multiLevelType w:val="hybridMultilevel"/>
    <w:tmpl w:val="59324E58"/>
    <w:lvl w:ilvl="0" w:tplc="ECBC760A">
      <w:start w:val="1"/>
      <w:numFmt w:val="upperLetter"/>
      <w:lvlText w:val="%1."/>
      <w:lvlJc w:val="left"/>
      <w:pPr>
        <w:ind w:left="720" w:hanging="360"/>
      </w:pPr>
      <w:rPr>
        <w:rFonts w:asciiTheme="majorHAnsi" w:hAnsiTheme="majorHAnsi"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9E3648"/>
    <w:multiLevelType w:val="hybridMultilevel"/>
    <w:tmpl w:val="DE5C0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82252A"/>
    <w:multiLevelType w:val="multilevel"/>
    <w:tmpl w:val="D360A642"/>
    <w:lvl w:ilvl="0">
      <w:start w:val="1"/>
      <w:numFmt w:val="upperRoman"/>
      <w:pStyle w:val="Ttulo1"/>
      <w:lvlText w:val="%1."/>
      <w:lvlJc w:val="left"/>
      <w:pPr>
        <w:ind w:left="0" w:firstLine="0"/>
      </w:pPr>
    </w:lvl>
    <w:lvl w:ilvl="1">
      <w:start w:val="1"/>
      <w:numFmt w:val="upperLetter"/>
      <w:pStyle w:val="Ttulo2"/>
      <w:lvlText w:val="%2."/>
      <w:lvlJc w:val="left"/>
      <w:pPr>
        <w:ind w:left="720" w:firstLine="0"/>
      </w:pPr>
      <w:rPr>
        <w:rFonts w:ascii="Arial" w:hAnsi="Arial" w:cs="Arial" w:hint="default"/>
        <w:color w:val="auto"/>
      </w:rPr>
    </w:lvl>
    <w:lvl w:ilvl="2">
      <w:start w:val="1"/>
      <w:numFmt w:val="bullet"/>
      <w:lvlText w:val="o"/>
      <w:lvlJc w:val="left"/>
      <w:pPr>
        <w:ind w:left="1440" w:firstLine="0"/>
      </w:pPr>
      <w:rPr>
        <w:rFonts w:ascii="Courier New" w:hAnsi="Courier New" w:cs="Courier New" w:hint="default"/>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78E12B93"/>
    <w:multiLevelType w:val="hybridMultilevel"/>
    <w:tmpl w:val="E410F0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EF60A22"/>
    <w:multiLevelType w:val="hybridMultilevel"/>
    <w:tmpl w:val="9D44AC42"/>
    <w:lvl w:ilvl="0" w:tplc="F926E3B8">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4"/>
  </w:num>
  <w:num w:numId="11">
    <w:abstractNumId w:val="3"/>
  </w:num>
  <w:num w:numId="12">
    <w:abstractNumId w:val="6"/>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41"/>
    <w:rsid w:val="000034FE"/>
    <w:rsid w:val="00007282"/>
    <w:rsid w:val="00010317"/>
    <w:rsid w:val="00013A97"/>
    <w:rsid w:val="00013C42"/>
    <w:rsid w:val="0001524B"/>
    <w:rsid w:val="0002002A"/>
    <w:rsid w:val="000220A8"/>
    <w:rsid w:val="00022B9C"/>
    <w:rsid w:val="000303D2"/>
    <w:rsid w:val="000322E3"/>
    <w:rsid w:val="0003344A"/>
    <w:rsid w:val="00034359"/>
    <w:rsid w:val="00034D93"/>
    <w:rsid w:val="00036A15"/>
    <w:rsid w:val="000435AA"/>
    <w:rsid w:val="000451FF"/>
    <w:rsid w:val="000455A8"/>
    <w:rsid w:val="00045D9C"/>
    <w:rsid w:val="00047E6A"/>
    <w:rsid w:val="000507E0"/>
    <w:rsid w:val="00051860"/>
    <w:rsid w:val="0005207F"/>
    <w:rsid w:val="000542B7"/>
    <w:rsid w:val="00055C4E"/>
    <w:rsid w:val="00057EE5"/>
    <w:rsid w:val="000605B2"/>
    <w:rsid w:val="00064A59"/>
    <w:rsid w:val="00066953"/>
    <w:rsid w:val="000670AC"/>
    <w:rsid w:val="000701F3"/>
    <w:rsid w:val="0007646B"/>
    <w:rsid w:val="000807BF"/>
    <w:rsid w:val="000822F5"/>
    <w:rsid w:val="00083531"/>
    <w:rsid w:val="000837C8"/>
    <w:rsid w:val="00091AAC"/>
    <w:rsid w:val="00091B85"/>
    <w:rsid w:val="000A22CF"/>
    <w:rsid w:val="000A3385"/>
    <w:rsid w:val="000A5771"/>
    <w:rsid w:val="000B24A9"/>
    <w:rsid w:val="000B508B"/>
    <w:rsid w:val="000B61EC"/>
    <w:rsid w:val="000C2A0D"/>
    <w:rsid w:val="000C60A7"/>
    <w:rsid w:val="000C6B4D"/>
    <w:rsid w:val="000D5111"/>
    <w:rsid w:val="000D6251"/>
    <w:rsid w:val="000D708A"/>
    <w:rsid w:val="000E3488"/>
    <w:rsid w:val="000F3F08"/>
    <w:rsid w:val="000F5CDB"/>
    <w:rsid w:val="000F78EA"/>
    <w:rsid w:val="0010373D"/>
    <w:rsid w:val="00104339"/>
    <w:rsid w:val="0011173D"/>
    <w:rsid w:val="00111892"/>
    <w:rsid w:val="00112D2D"/>
    <w:rsid w:val="00113C9C"/>
    <w:rsid w:val="0011583A"/>
    <w:rsid w:val="00116886"/>
    <w:rsid w:val="00121F22"/>
    <w:rsid w:val="00123552"/>
    <w:rsid w:val="001341B4"/>
    <w:rsid w:val="00134CBF"/>
    <w:rsid w:val="00135504"/>
    <w:rsid w:val="00135AED"/>
    <w:rsid w:val="00135D2B"/>
    <w:rsid w:val="00142504"/>
    <w:rsid w:val="00143F44"/>
    <w:rsid w:val="001453BB"/>
    <w:rsid w:val="00146276"/>
    <w:rsid w:val="00147535"/>
    <w:rsid w:val="00147E70"/>
    <w:rsid w:val="001519FC"/>
    <w:rsid w:val="00151E5F"/>
    <w:rsid w:val="00153E1A"/>
    <w:rsid w:val="00154863"/>
    <w:rsid w:val="00156C46"/>
    <w:rsid w:val="00172C77"/>
    <w:rsid w:val="0017322D"/>
    <w:rsid w:val="00173A79"/>
    <w:rsid w:val="00174FFD"/>
    <w:rsid w:val="00180518"/>
    <w:rsid w:val="0018254B"/>
    <w:rsid w:val="00183191"/>
    <w:rsid w:val="00184488"/>
    <w:rsid w:val="001875F1"/>
    <w:rsid w:val="0019219C"/>
    <w:rsid w:val="001924C4"/>
    <w:rsid w:val="0019554C"/>
    <w:rsid w:val="00196C96"/>
    <w:rsid w:val="00196F75"/>
    <w:rsid w:val="001A12E4"/>
    <w:rsid w:val="001A1734"/>
    <w:rsid w:val="001A4517"/>
    <w:rsid w:val="001A6A76"/>
    <w:rsid w:val="001B177A"/>
    <w:rsid w:val="001B1D9F"/>
    <w:rsid w:val="001B6C29"/>
    <w:rsid w:val="001C4D86"/>
    <w:rsid w:val="001C5C3D"/>
    <w:rsid w:val="001D14AC"/>
    <w:rsid w:val="001D44BD"/>
    <w:rsid w:val="001E00BC"/>
    <w:rsid w:val="001E0395"/>
    <w:rsid w:val="001E26A6"/>
    <w:rsid w:val="001E6650"/>
    <w:rsid w:val="001E76B5"/>
    <w:rsid w:val="001E7B31"/>
    <w:rsid w:val="001E7DAC"/>
    <w:rsid w:val="001F6556"/>
    <w:rsid w:val="00206A4A"/>
    <w:rsid w:val="002133F3"/>
    <w:rsid w:val="0021343D"/>
    <w:rsid w:val="0021644B"/>
    <w:rsid w:val="00217D78"/>
    <w:rsid w:val="0022163A"/>
    <w:rsid w:val="00226469"/>
    <w:rsid w:val="00231D6B"/>
    <w:rsid w:val="002357E9"/>
    <w:rsid w:val="00241565"/>
    <w:rsid w:val="00241D47"/>
    <w:rsid w:val="002435F4"/>
    <w:rsid w:val="00245D7F"/>
    <w:rsid w:val="00247B0C"/>
    <w:rsid w:val="00253B07"/>
    <w:rsid w:val="00254BE7"/>
    <w:rsid w:val="00256480"/>
    <w:rsid w:val="0026257C"/>
    <w:rsid w:val="002670ED"/>
    <w:rsid w:val="002679FA"/>
    <w:rsid w:val="00267EAC"/>
    <w:rsid w:val="002740A5"/>
    <w:rsid w:val="0028412E"/>
    <w:rsid w:val="00286AFC"/>
    <w:rsid w:val="00286D6F"/>
    <w:rsid w:val="00292BF3"/>
    <w:rsid w:val="00292D2B"/>
    <w:rsid w:val="00294A0F"/>
    <w:rsid w:val="0029680A"/>
    <w:rsid w:val="002A049A"/>
    <w:rsid w:val="002A41AE"/>
    <w:rsid w:val="002A5F88"/>
    <w:rsid w:val="002B22D5"/>
    <w:rsid w:val="002B2AEF"/>
    <w:rsid w:val="002B4241"/>
    <w:rsid w:val="002B4360"/>
    <w:rsid w:val="002B5E63"/>
    <w:rsid w:val="002B68CA"/>
    <w:rsid w:val="002C1E98"/>
    <w:rsid w:val="002C4D8D"/>
    <w:rsid w:val="002D298A"/>
    <w:rsid w:val="002D409D"/>
    <w:rsid w:val="002D4415"/>
    <w:rsid w:val="002D45D9"/>
    <w:rsid w:val="002D4C86"/>
    <w:rsid w:val="002D53C0"/>
    <w:rsid w:val="002E0462"/>
    <w:rsid w:val="002E073B"/>
    <w:rsid w:val="002E0A84"/>
    <w:rsid w:val="002E2DF2"/>
    <w:rsid w:val="002E5E82"/>
    <w:rsid w:val="002F0576"/>
    <w:rsid w:val="002F1B9A"/>
    <w:rsid w:val="002F35CE"/>
    <w:rsid w:val="002F3FB9"/>
    <w:rsid w:val="002F6646"/>
    <w:rsid w:val="002F71CD"/>
    <w:rsid w:val="0030121D"/>
    <w:rsid w:val="003023EC"/>
    <w:rsid w:val="00306FDD"/>
    <w:rsid w:val="00307881"/>
    <w:rsid w:val="00307E37"/>
    <w:rsid w:val="00313C8A"/>
    <w:rsid w:val="00322FC4"/>
    <w:rsid w:val="003305CB"/>
    <w:rsid w:val="00331BED"/>
    <w:rsid w:val="003328CE"/>
    <w:rsid w:val="00333AD2"/>
    <w:rsid w:val="00335E18"/>
    <w:rsid w:val="00336619"/>
    <w:rsid w:val="003403A1"/>
    <w:rsid w:val="0034161A"/>
    <w:rsid w:val="003419EB"/>
    <w:rsid w:val="00342E3D"/>
    <w:rsid w:val="00343C49"/>
    <w:rsid w:val="00347C2B"/>
    <w:rsid w:val="0035162F"/>
    <w:rsid w:val="00352DD6"/>
    <w:rsid w:val="0035302A"/>
    <w:rsid w:val="00354562"/>
    <w:rsid w:val="00355E5A"/>
    <w:rsid w:val="00357DC3"/>
    <w:rsid w:val="00362A2D"/>
    <w:rsid w:val="00363A73"/>
    <w:rsid w:val="00366175"/>
    <w:rsid w:val="00367315"/>
    <w:rsid w:val="0037076A"/>
    <w:rsid w:val="003710B2"/>
    <w:rsid w:val="0038155F"/>
    <w:rsid w:val="00390903"/>
    <w:rsid w:val="003921DF"/>
    <w:rsid w:val="0039308E"/>
    <w:rsid w:val="003A001E"/>
    <w:rsid w:val="003A4C03"/>
    <w:rsid w:val="003A660D"/>
    <w:rsid w:val="003B5A37"/>
    <w:rsid w:val="003C08AF"/>
    <w:rsid w:val="003C124F"/>
    <w:rsid w:val="003C14C6"/>
    <w:rsid w:val="003C2587"/>
    <w:rsid w:val="003C5447"/>
    <w:rsid w:val="003D1C1C"/>
    <w:rsid w:val="003D2298"/>
    <w:rsid w:val="003D2A07"/>
    <w:rsid w:val="003D3131"/>
    <w:rsid w:val="003D315D"/>
    <w:rsid w:val="003D494D"/>
    <w:rsid w:val="003D6146"/>
    <w:rsid w:val="003D654C"/>
    <w:rsid w:val="003D7153"/>
    <w:rsid w:val="003E349A"/>
    <w:rsid w:val="003E7CEF"/>
    <w:rsid w:val="003F36A5"/>
    <w:rsid w:val="003F4D21"/>
    <w:rsid w:val="003F5C97"/>
    <w:rsid w:val="003F686B"/>
    <w:rsid w:val="003F7449"/>
    <w:rsid w:val="0040194B"/>
    <w:rsid w:val="004021B2"/>
    <w:rsid w:val="00403044"/>
    <w:rsid w:val="00406ECF"/>
    <w:rsid w:val="0040710E"/>
    <w:rsid w:val="00410F92"/>
    <w:rsid w:val="004121D9"/>
    <w:rsid w:val="00413D95"/>
    <w:rsid w:val="004158D0"/>
    <w:rsid w:val="00416655"/>
    <w:rsid w:val="00416CBF"/>
    <w:rsid w:val="004200AB"/>
    <w:rsid w:val="004260F4"/>
    <w:rsid w:val="004325CF"/>
    <w:rsid w:val="0043558A"/>
    <w:rsid w:val="00436764"/>
    <w:rsid w:val="00436ACE"/>
    <w:rsid w:val="00437458"/>
    <w:rsid w:val="0044111D"/>
    <w:rsid w:val="0044332C"/>
    <w:rsid w:val="00447C9C"/>
    <w:rsid w:val="00450CA9"/>
    <w:rsid w:val="00453355"/>
    <w:rsid w:val="00457C0B"/>
    <w:rsid w:val="00457CBB"/>
    <w:rsid w:val="0046222A"/>
    <w:rsid w:val="00467734"/>
    <w:rsid w:val="004716AC"/>
    <w:rsid w:val="00471C4C"/>
    <w:rsid w:val="004726CE"/>
    <w:rsid w:val="0047515A"/>
    <w:rsid w:val="00484C09"/>
    <w:rsid w:val="00487312"/>
    <w:rsid w:val="004929D2"/>
    <w:rsid w:val="00495F63"/>
    <w:rsid w:val="004A284A"/>
    <w:rsid w:val="004A33AA"/>
    <w:rsid w:val="004A693F"/>
    <w:rsid w:val="004B0BFC"/>
    <w:rsid w:val="004B6CFD"/>
    <w:rsid w:val="004C16C7"/>
    <w:rsid w:val="004C262F"/>
    <w:rsid w:val="004C34DA"/>
    <w:rsid w:val="004C465F"/>
    <w:rsid w:val="004D28D3"/>
    <w:rsid w:val="004D436D"/>
    <w:rsid w:val="004D63BD"/>
    <w:rsid w:val="004D7AAC"/>
    <w:rsid w:val="004D7CAC"/>
    <w:rsid w:val="004E0842"/>
    <w:rsid w:val="004E6031"/>
    <w:rsid w:val="004E63CB"/>
    <w:rsid w:val="004F6AB1"/>
    <w:rsid w:val="004F767E"/>
    <w:rsid w:val="005015DE"/>
    <w:rsid w:val="00504CCC"/>
    <w:rsid w:val="0050653E"/>
    <w:rsid w:val="005065FE"/>
    <w:rsid w:val="0050742B"/>
    <w:rsid w:val="00510C82"/>
    <w:rsid w:val="005235E7"/>
    <w:rsid w:val="00523A59"/>
    <w:rsid w:val="0052547B"/>
    <w:rsid w:val="00532749"/>
    <w:rsid w:val="00533A3B"/>
    <w:rsid w:val="00534695"/>
    <w:rsid w:val="00535AB8"/>
    <w:rsid w:val="00536876"/>
    <w:rsid w:val="00543FF8"/>
    <w:rsid w:val="00544DFB"/>
    <w:rsid w:val="00544F5F"/>
    <w:rsid w:val="00545A0C"/>
    <w:rsid w:val="00550C0D"/>
    <w:rsid w:val="00551572"/>
    <w:rsid w:val="0055172F"/>
    <w:rsid w:val="00556D43"/>
    <w:rsid w:val="00557451"/>
    <w:rsid w:val="005605E3"/>
    <w:rsid w:val="00560B51"/>
    <w:rsid w:val="00565E55"/>
    <w:rsid w:val="00567206"/>
    <w:rsid w:val="00572181"/>
    <w:rsid w:val="00572663"/>
    <w:rsid w:val="00574A8B"/>
    <w:rsid w:val="005910FF"/>
    <w:rsid w:val="00591802"/>
    <w:rsid w:val="005925D5"/>
    <w:rsid w:val="005930E0"/>
    <w:rsid w:val="0059459F"/>
    <w:rsid w:val="00595E41"/>
    <w:rsid w:val="00596827"/>
    <w:rsid w:val="005A0E9F"/>
    <w:rsid w:val="005A285D"/>
    <w:rsid w:val="005A3E6E"/>
    <w:rsid w:val="005A44FD"/>
    <w:rsid w:val="005A46AE"/>
    <w:rsid w:val="005A76D5"/>
    <w:rsid w:val="005B1362"/>
    <w:rsid w:val="005B26F0"/>
    <w:rsid w:val="005B43A3"/>
    <w:rsid w:val="005B6B00"/>
    <w:rsid w:val="005C302A"/>
    <w:rsid w:val="005D069C"/>
    <w:rsid w:val="005D208F"/>
    <w:rsid w:val="005D783C"/>
    <w:rsid w:val="005E008B"/>
    <w:rsid w:val="005E0EEA"/>
    <w:rsid w:val="005E1491"/>
    <w:rsid w:val="005E2590"/>
    <w:rsid w:val="005E43A6"/>
    <w:rsid w:val="005E5E42"/>
    <w:rsid w:val="005F055D"/>
    <w:rsid w:val="005F1DE8"/>
    <w:rsid w:val="005F23F3"/>
    <w:rsid w:val="005F2A74"/>
    <w:rsid w:val="005F4D81"/>
    <w:rsid w:val="005F55A8"/>
    <w:rsid w:val="005F5EFA"/>
    <w:rsid w:val="005F614F"/>
    <w:rsid w:val="005F6B56"/>
    <w:rsid w:val="0060015C"/>
    <w:rsid w:val="00600B73"/>
    <w:rsid w:val="006026B0"/>
    <w:rsid w:val="00602AE1"/>
    <w:rsid w:val="00603981"/>
    <w:rsid w:val="00606A85"/>
    <w:rsid w:val="006075ED"/>
    <w:rsid w:val="00611E6B"/>
    <w:rsid w:val="0061763B"/>
    <w:rsid w:val="00617E0A"/>
    <w:rsid w:val="00620790"/>
    <w:rsid w:val="00621AC4"/>
    <w:rsid w:val="00624845"/>
    <w:rsid w:val="00625225"/>
    <w:rsid w:val="006268F7"/>
    <w:rsid w:val="00633E18"/>
    <w:rsid w:val="00634278"/>
    <w:rsid w:val="00634F93"/>
    <w:rsid w:val="00635E2F"/>
    <w:rsid w:val="00644524"/>
    <w:rsid w:val="0064616B"/>
    <w:rsid w:val="00646D6B"/>
    <w:rsid w:val="00647603"/>
    <w:rsid w:val="00650908"/>
    <w:rsid w:val="0065341D"/>
    <w:rsid w:val="00654E51"/>
    <w:rsid w:val="00654E79"/>
    <w:rsid w:val="0065658F"/>
    <w:rsid w:val="006612A0"/>
    <w:rsid w:val="0066620C"/>
    <w:rsid w:val="006671DF"/>
    <w:rsid w:val="00670CB5"/>
    <w:rsid w:val="00674B78"/>
    <w:rsid w:val="00681B5C"/>
    <w:rsid w:val="00684E5E"/>
    <w:rsid w:val="006852BB"/>
    <w:rsid w:val="006866C7"/>
    <w:rsid w:val="00687113"/>
    <w:rsid w:val="00687C42"/>
    <w:rsid w:val="0069065E"/>
    <w:rsid w:val="006943F4"/>
    <w:rsid w:val="0069463F"/>
    <w:rsid w:val="0069660C"/>
    <w:rsid w:val="006A28EF"/>
    <w:rsid w:val="006A408D"/>
    <w:rsid w:val="006A52F2"/>
    <w:rsid w:val="006A6BD7"/>
    <w:rsid w:val="006B04CF"/>
    <w:rsid w:val="006B0F7F"/>
    <w:rsid w:val="006B4329"/>
    <w:rsid w:val="006C32E2"/>
    <w:rsid w:val="006D084C"/>
    <w:rsid w:val="006D13E4"/>
    <w:rsid w:val="006D48F5"/>
    <w:rsid w:val="006E0C6F"/>
    <w:rsid w:val="006E1A72"/>
    <w:rsid w:val="006F47B0"/>
    <w:rsid w:val="00701C53"/>
    <w:rsid w:val="00701EAE"/>
    <w:rsid w:val="00710950"/>
    <w:rsid w:val="00712EF7"/>
    <w:rsid w:val="00713267"/>
    <w:rsid w:val="00714776"/>
    <w:rsid w:val="00714CB9"/>
    <w:rsid w:val="00716574"/>
    <w:rsid w:val="0072077B"/>
    <w:rsid w:val="007216A6"/>
    <w:rsid w:val="007243B5"/>
    <w:rsid w:val="00726CD0"/>
    <w:rsid w:val="00730547"/>
    <w:rsid w:val="00732EB2"/>
    <w:rsid w:val="00737A41"/>
    <w:rsid w:val="00742F80"/>
    <w:rsid w:val="007472B5"/>
    <w:rsid w:val="00747C02"/>
    <w:rsid w:val="00750B45"/>
    <w:rsid w:val="00752AF8"/>
    <w:rsid w:val="00752DBE"/>
    <w:rsid w:val="00753C23"/>
    <w:rsid w:val="007553B3"/>
    <w:rsid w:val="007566B1"/>
    <w:rsid w:val="00757C72"/>
    <w:rsid w:val="007600A5"/>
    <w:rsid w:val="00760534"/>
    <w:rsid w:val="0076223B"/>
    <w:rsid w:val="007639DC"/>
    <w:rsid w:val="007648BB"/>
    <w:rsid w:val="00771A24"/>
    <w:rsid w:val="00775337"/>
    <w:rsid w:val="00777DFD"/>
    <w:rsid w:val="00781760"/>
    <w:rsid w:val="007852CB"/>
    <w:rsid w:val="007869CF"/>
    <w:rsid w:val="0078706D"/>
    <w:rsid w:val="007907A3"/>
    <w:rsid w:val="00792ADA"/>
    <w:rsid w:val="00794FF6"/>
    <w:rsid w:val="00795271"/>
    <w:rsid w:val="007964C9"/>
    <w:rsid w:val="007966A5"/>
    <w:rsid w:val="007A3E56"/>
    <w:rsid w:val="007A53C6"/>
    <w:rsid w:val="007B2B84"/>
    <w:rsid w:val="007B4C79"/>
    <w:rsid w:val="007B55C1"/>
    <w:rsid w:val="007B6718"/>
    <w:rsid w:val="007B7D05"/>
    <w:rsid w:val="007C002D"/>
    <w:rsid w:val="007C0F57"/>
    <w:rsid w:val="007C1094"/>
    <w:rsid w:val="007C25BA"/>
    <w:rsid w:val="007C2B36"/>
    <w:rsid w:val="007C2FF8"/>
    <w:rsid w:val="007C349C"/>
    <w:rsid w:val="007C39FE"/>
    <w:rsid w:val="007C3A30"/>
    <w:rsid w:val="007D4836"/>
    <w:rsid w:val="007D5913"/>
    <w:rsid w:val="007D5C0A"/>
    <w:rsid w:val="007D6250"/>
    <w:rsid w:val="007E0157"/>
    <w:rsid w:val="007E05C8"/>
    <w:rsid w:val="007E5B8A"/>
    <w:rsid w:val="007E6F28"/>
    <w:rsid w:val="007F160E"/>
    <w:rsid w:val="007F4557"/>
    <w:rsid w:val="0080079D"/>
    <w:rsid w:val="00811283"/>
    <w:rsid w:val="008157AA"/>
    <w:rsid w:val="00820CBD"/>
    <w:rsid w:val="008217AC"/>
    <w:rsid w:val="00822A9D"/>
    <w:rsid w:val="008241F1"/>
    <w:rsid w:val="0082456D"/>
    <w:rsid w:val="008262B1"/>
    <w:rsid w:val="00826550"/>
    <w:rsid w:val="008319CA"/>
    <w:rsid w:val="00833970"/>
    <w:rsid w:val="008340B3"/>
    <w:rsid w:val="00841DB8"/>
    <w:rsid w:val="008452F2"/>
    <w:rsid w:val="00846F6F"/>
    <w:rsid w:val="0085022C"/>
    <w:rsid w:val="00851A59"/>
    <w:rsid w:val="00857978"/>
    <w:rsid w:val="0086123F"/>
    <w:rsid w:val="00861FBD"/>
    <w:rsid w:val="00862F53"/>
    <w:rsid w:val="00863255"/>
    <w:rsid w:val="00863FB1"/>
    <w:rsid w:val="00870724"/>
    <w:rsid w:val="00875915"/>
    <w:rsid w:val="008801F3"/>
    <w:rsid w:val="008833AE"/>
    <w:rsid w:val="00883C70"/>
    <w:rsid w:val="008948AA"/>
    <w:rsid w:val="00895C07"/>
    <w:rsid w:val="0089751D"/>
    <w:rsid w:val="008B3175"/>
    <w:rsid w:val="008B480A"/>
    <w:rsid w:val="008B7358"/>
    <w:rsid w:val="008B7A7F"/>
    <w:rsid w:val="008C4B71"/>
    <w:rsid w:val="008C4D87"/>
    <w:rsid w:val="008C6BB8"/>
    <w:rsid w:val="008D371D"/>
    <w:rsid w:val="008D385D"/>
    <w:rsid w:val="008D63A9"/>
    <w:rsid w:val="008D68C8"/>
    <w:rsid w:val="008D70A9"/>
    <w:rsid w:val="008E3FDF"/>
    <w:rsid w:val="008E5185"/>
    <w:rsid w:val="008E76BF"/>
    <w:rsid w:val="008F28A2"/>
    <w:rsid w:val="008F738F"/>
    <w:rsid w:val="009009D9"/>
    <w:rsid w:val="00910F59"/>
    <w:rsid w:val="0091292E"/>
    <w:rsid w:val="00913699"/>
    <w:rsid w:val="00914EE0"/>
    <w:rsid w:val="0091513D"/>
    <w:rsid w:val="00922482"/>
    <w:rsid w:val="0092421E"/>
    <w:rsid w:val="00940E43"/>
    <w:rsid w:val="00940F29"/>
    <w:rsid w:val="00942CFF"/>
    <w:rsid w:val="009432FF"/>
    <w:rsid w:val="009477E2"/>
    <w:rsid w:val="009511D4"/>
    <w:rsid w:val="00952D66"/>
    <w:rsid w:val="00953374"/>
    <w:rsid w:val="00954D43"/>
    <w:rsid w:val="00954F79"/>
    <w:rsid w:val="00956C52"/>
    <w:rsid w:val="0095784C"/>
    <w:rsid w:val="00962E40"/>
    <w:rsid w:val="00967DA5"/>
    <w:rsid w:val="00973383"/>
    <w:rsid w:val="00980D4B"/>
    <w:rsid w:val="00983832"/>
    <w:rsid w:val="0098390B"/>
    <w:rsid w:val="00984AED"/>
    <w:rsid w:val="00985B89"/>
    <w:rsid w:val="00986F20"/>
    <w:rsid w:val="009873B6"/>
    <w:rsid w:val="009912AC"/>
    <w:rsid w:val="00992C68"/>
    <w:rsid w:val="00993060"/>
    <w:rsid w:val="009930D1"/>
    <w:rsid w:val="00994189"/>
    <w:rsid w:val="00995719"/>
    <w:rsid w:val="00995D0B"/>
    <w:rsid w:val="009A65D5"/>
    <w:rsid w:val="009B6C97"/>
    <w:rsid w:val="009C2276"/>
    <w:rsid w:val="009C39A9"/>
    <w:rsid w:val="009C3EB1"/>
    <w:rsid w:val="009C789B"/>
    <w:rsid w:val="009D05A0"/>
    <w:rsid w:val="009D1A32"/>
    <w:rsid w:val="009D1EA5"/>
    <w:rsid w:val="009D2865"/>
    <w:rsid w:val="009D34CE"/>
    <w:rsid w:val="009E02FA"/>
    <w:rsid w:val="009E07A8"/>
    <w:rsid w:val="009E304E"/>
    <w:rsid w:val="009E33F7"/>
    <w:rsid w:val="009E4F7E"/>
    <w:rsid w:val="009F0B93"/>
    <w:rsid w:val="009F148C"/>
    <w:rsid w:val="009F3977"/>
    <w:rsid w:val="00A01285"/>
    <w:rsid w:val="00A02CC5"/>
    <w:rsid w:val="00A04CBC"/>
    <w:rsid w:val="00A054E2"/>
    <w:rsid w:val="00A11FBD"/>
    <w:rsid w:val="00A138DF"/>
    <w:rsid w:val="00A144B7"/>
    <w:rsid w:val="00A21B3B"/>
    <w:rsid w:val="00A24432"/>
    <w:rsid w:val="00A311C7"/>
    <w:rsid w:val="00A32815"/>
    <w:rsid w:val="00A359C1"/>
    <w:rsid w:val="00A37679"/>
    <w:rsid w:val="00A423EE"/>
    <w:rsid w:val="00A43C43"/>
    <w:rsid w:val="00A442F9"/>
    <w:rsid w:val="00A45EA5"/>
    <w:rsid w:val="00A50ECC"/>
    <w:rsid w:val="00A512D4"/>
    <w:rsid w:val="00A6054A"/>
    <w:rsid w:val="00A6170A"/>
    <w:rsid w:val="00A6589D"/>
    <w:rsid w:val="00A73598"/>
    <w:rsid w:val="00A73DF8"/>
    <w:rsid w:val="00A77579"/>
    <w:rsid w:val="00A80E4D"/>
    <w:rsid w:val="00A81197"/>
    <w:rsid w:val="00A81FB6"/>
    <w:rsid w:val="00A86F02"/>
    <w:rsid w:val="00A875D0"/>
    <w:rsid w:val="00AA2112"/>
    <w:rsid w:val="00AA2820"/>
    <w:rsid w:val="00AA4614"/>
    <w:rsid w:val="00AA6390"/>
    <w:rsid w:val="00AB220A"/>
    <w:rsid w:val="00AB2C20"/>
    <w:rsid w:val="00AB6EBC"/>
    <w:rsid w:val="00AB7B2E"/>
    <w:rsid w:val="00AC04AE"/>
    <w:rsid w:val="00AC0F71"/>
    <w:rsid w:val="00AC1052"/>
    <w:rsid w:val="00AC2C29"/>
    <w:rsid w:val="00AC3F33"/>
    <w:rsid w:val="00AC6A80"/>
    <w:rsid w:val="00AC747E"/>
    <w:rsid w:val="00AD23D2"/>
    <w:rsid w:val="00AD3225"/>
    <w:rsid w:val="00AD3506"/>
    <w:rsid w:val="00AD3969"/>
    <w:rsid w:val="00AD497E"/>
    <w:rsid w:val="00AD498F"/>
    <w:rsid w:val="00AD67FA"/>
    <w:rsid w:val="00AD707A"/>
    <w:rsid w:val="00AE6DD7"/>
    <w:rsid w:val="00AF0E3D"/>
    <w:rsid w:val="00AF3199"/>
    <w:rsid w:val="00AF42B0"/>
    <w:rsid w:val="00AF657E"/>
    <w:rsid w:val="00B027FD"/>
    <w:rsid w:val="00B028BD"/>
    <w:rsid w:val="00B02F4B"/>
    <w:rsid w:val="00B03B6C"/>
    <w:rsid w:val="00B045FA"/>
    <w:rsid w:val="00B0617E"/>
    <w:rsid w:val="00B11512"/>
    <w:rsid w:val="00B13248"/>
    <w:rsid w:val="00B1700E"/>
    <w:rsid w:val="00B20E01"/>
    <w:rsid w:val="00B22CEB"/>
    <w:rsid w:val="00B24C8C"/>
    <w:rsid w:val="00B25B82"/>
    <w:rsid w:val="00B26816"/>
    <w:rsid w:val="00B306B8"/>
    <w:rsid w:val="00B3148B"/>
    <w:rsid w:val="00B31D8D"/>
    <w:rsid w:val="00B3316C"/>
    <w:rsid w:val="00B3393C"/>
    <w:rsid w:val="00B339AE"/>
    <w:rsid w:val="00B34ACA"/>
    <w:rsid w:val="00B34BB7"/>
    <w:rsid w:val="00B369B0"/>
    <w:rsid w:val="00B40209"/>
    <w:rsid w:val="00B40A14"/>
    <w:rsid w:val="00B4108E"/>
    <w:rsid w:val="00B443EE"/>
    <w:rsid w:val="00B46BD2"/>
    <w:rsid w:val="00B53500"/>
    <w:rsid w:val="00B53AE0"/>
    <w:rsid w:val="00B55511"/>
    <w:rsid w:val="00B566EB"/>
    <w:rsid w:val="00B64883"/>
    <w:rsid w:val="00B65EAF"/>
    <w:rsid w:val="00B661A6"/>
    <w:rsid w:val="00B677B5"/>
    <w:rsid w:val="00B703B3"/>
    <w:rsid w:val="00B777FD"/>
    <w:rsid w:val="00B816CB"/>
    <w:rsid w:val="00B82B99"/>
    <w:rsid w:val="00B90D7D"/>
    <w:rsid w:val="00B92174"/>
    <w:rsid w:val="00B9278D"/>
    <w:rsid w:val="00B927CB"/>
    <w:rsid w:val="00B940EE"/>
    <w:rsid w:val="00B94751"/>
    <w:rsid w:val="00BA02E9"/>
    <w:rsid w:val="00BA386A"/>
    <w:rsid w:val="00BA609E"/>
    <w:rsid w:val="00BA6C5B"/>
    <w:rsid w:val="00BA7120"/>
    <w:rsid w:val="00BA7633"/>
    <w:rsid w:val="00BB4C76"/>
    <w:rsid w:val="00BC1266"/>
    <w:rsid w:val="00BC1838"/>
    <w:rsid w:val="00BC1C69"/>
    <w:rsid w:val="00BC2F82"/>
    <w:rsid w:val="00BD4C67"/>
    <w:rsid w:val="00BD607C"/>
    <w:rsid w:val="00BE2AFA"/>
    <w:rsid w:val="00BE6741"/>
    <w:rsid w:val="00BE785E"/>
    <w:rsid w:val="00BF063F"/>
    <w:rsid w:val="00BF0E6C"/>
    <w:rsid w:val="00BF375B"/>
    <w:rsid w:val="00BF5BD1"/>
    <w:rsid w:val="00C00D8C"/>
    <w:rsid w:val="00C05FC1"/>
    <w:rsid w:val="00C067E3"/>
    <w:rsid w:val="00C06F0F"/>
    <w:rsid w:val="00C073D9"/>
    <w:rsid w:val="00C10DBE"/>
    <w:rsid w:val="00C112DD"/>
    <w:rsid w:val="00C128DE"/>
    <w:rsid w:val="00C14B87"/>
    <w:rsid w:val="00C14D1C"/>
    <w:rsid w:val="00C159AB"/>
    <w:rsid w:val="00C17E48"/>
    <w:rsid w:val="00C2324A"/>
    <w:rsid w:val="00C23EB1"/>
    <w:rsid w:val="00C254F1"/>
    <w:rsid w:val="00C25916"/>
    <w:rsid w:val="00C25C54"/>
    <w:rsid w:val="00C27A89"/>
    <w:rsid w:val="00C30337"/>
    <w:rsid w:val="00C34BA7"/>
    <w:rsid w:val="00C353C8"/>
    <w:rsid w:val="00C40A3B"/>
    <w:rsid w:val="00C433DE"/>
    <w:rsid w:val="00C4757D"/>
    <w:rsid w:val="00C50DE4"/>
    <w:rsid w:val="00C54F6D"/>
    <w:rsid w:val="00C55A23"/>
    <w:rsid w:val="00C56771"/>
    <w:rsid w:val="00C63955"/>
    <w:rsid w:val="00C678C0"/>
    <w:rsid w:val="00C67E9E"/>
    <w:rsid w:val="00C72489"/>
    <w:rsid w:val="00C726D0"/>
    <w:rsid w:val="00C76154"/>
    <w:rsid w:val="00C80CFF"/>
    <w:rsid w:val="00C8189C"/>
    <w:rsid w:val="00C82032"/>
    <w:rsid w:val="00C82B48"/>
    <w:rsid w:val="00C84691"/>
    <w:rsid w:val="00C85FB6"/>
    <w:rsid w:val="00C91C4E"/>
    <w:rsid w:val="00C92F1E"/>
    <w:rsid w:val="00C93DE3"/>
    <w:rsid w:val="00C95511"/>
    <w:rsid w:val="00C97818"/>
    <w:rsid w:val="00CA19C6"/>
    <w:rsid w:val="00CA5763"/>
    <w:rsid w:val="00CA5D7D"/>
    <w:rsid w:val="00CB0062"/>
    <w:rsid w:val="00CB62E2"/>
    <w:rsid w:val="00CB742F"/>
    <w:rsid w:val="00CB77F0"/>
    <w:rsid w:val="00CC0647"/>
    <w:rsid w:val="00CC224F"/>
    <w:rsid w:val="00CC22BC"/>
    <w:rsid w:val="00CC42AD"/>
    <w:rsid w:val="00CC6C57"/>
    <w:rsid w:val="00CD14CF"/>
    <w:rsid w:val="00CD4166"/>
    <w:rsid w:val="00CD6029"/>
    <w:rsid w:val="00CD729D"/>
    <w:rsid w:val="00CD7541"/>
    <w:rsid w:val="00CD7CCC"/>
    <w:rsid w:val="00CE1E78"/>
    <w:rsid w:val="00CE3916"/>
    <w:rsid w:val="00CE5101"/>
    <w:rsid w:val="00CE6330"/>
    <w:rsid w:val="00CF0DD7"/>
    <w:rsid w:val="00CF3A8C"/>
    <w:rsid w:val="00CF43CA"/>
    <w:rsid w:val="00D0271E"/>
    <w:rsid w:val="00D04A65"/>
    <w:rsid w:val="00D054F9"/>
    <w:rsid w:val="00D1054A"/>
    <w:rsid w:val="00D1441B"/>
    <w:rsid w:val="00D17273"/>
    <w:rsid w:val="00D17FAF"/>
    <w:rsid w:val="00D2016F"/>
    <w:rsid w:val="00D213D8"/>
    <w:rsid w:val="00D230B6"/>
    <w:rsid w:val="00D2680E"/>
    <w:rsid w:val="00D26E95"/>
    <w:rsid w:val="00D27DD0"/>
    <w:rsid w:val="00D30FED"/>
    <w:rsid w:val="00D37C4F"/>
    <w:rsid w:val="00D41C7B"/>
    <w:rsid w:val="00D43FBE"/>
    <w:rsid w:val="00D47373"/>
    <w:rsid w:val="00D51F41"/>
    <w:rsid w:val="00D56352"/>
    <w:rsid w:val="00D6136B"/>
    <w:rsid w:val="00D652E6"/>
    <w:rsid w:val="00D65322"/>
    <w:rsid w:val="00D673ED"/>
    <w:rsid w:val="00D71FB8"/>
    <w:rsid w:val="00D72B7B"/>
    <w:rsid w:val="00D7345F"/>
    <w:rsid w:val="00D73689"/>
    <w:rsid w:val="00D80130"/>
    <w:rsid w:val="00D816CE"/>
    <w:rsid w:val="00D84059"/>
    <w:rsid w:val="00D9260F"/>
    <w:rsid w:val="00D930F6"/>
    <w:rsid w:val="00DA525B"/>
    <w:rsid w:val="00DA6182"/>
    <w:rsid w:val="00DA71CB"/>
    <w:rsid w:val="00DA7435"/>
    <w:rsid w:val="00DB08FC"/>
    <w:rsid w:val="00DB2490"/>
    <w:rsid w:val="00DB6F17"/>
    <w:rsid w:val="00DC11F3"/>
    <w:rsid w:val="00DC24CB"/>
    <w:rsid w:val="00DC50E2"/>
    <w:rsid w:val="00DC551D"/>
    <w:rsid w:val="00DC6CD2"/>
    <w:rsid w:val="00DC6D95"/>
    <w:rsid w:val="00DC74E8"/>
    <w:rsid w:val="00DC778A"/>
    <w:rsid w:val="00DD07AC"/>
    <w:rsid w:val="00DD1806"/>
    <w:rsid w:val="00DD1D24"/>
    <w:rsid w:val="00DD483C"/>
    <w:rsid w:val="00DD537B"/>
    <w:rsid w:val="00DD5E70"/>
    <w:rsid w:val="00DD6241"/>
    <w:rsid w:val="00DD63E9"/>
    <w:rsid w:val="00DE1A64"/>
    <w:rsid w:val="00DE423E"/>
    <w:rsid w:val="00DE4C32"/>
    <w:rsid w:val="00DE503E"/>
    <w:rsid w:val="00DF1DAE"/>
    <w:rsid w:val="00DF2402"/>
    <w:rsid w:val="00DF3890"/>
    <w:rsid w:val="00DF78ED"/>
    <w:rsid w:val="00E069E9"/>
    <w:rsid w:val="00E06D5C"/>
    <w:rsid w:val="00E10588"/>
    <w:rsid w:val="00E13E13"/>
    <w:rsid w:val="00E14859"/>
    <w:rsid w:val="00E14B0F"/>
    <w:rsid w:val="00E24A9E"/>
    <w:rsid w:val="00E25F17"/>
    <w:rsid w:val="00E27698"/>
    <w:rsid w:val="00E301D5"/>
    <w:rsid w:val="00E30E4C"/>
    <w:rsid w:val="00E3565D"/>
    <w:rsid w:val="00E36E26"/>
    <w:rsid w:val="00E4415B"/>
    <w:rsid w:val="00E44CF9"/>
    <w:rsid w:val="00E500A5"/>
    <w:rsid w:val="00E50A65"/>
    <w:rsid w:val="00E52CDC"/>
    <w:rsid w:val="00E5666D"/>
    <w:rsid w:val="00E62367"/>
    <w:rsid w:val="00E64690"/>
    <w:rsid w:val="00E64EB1"/>
    <w:rsid w:val="00E665EA"/>
    <w:rsid w:val="00E6671F"/>
    <w:rsid w:val="00E71B90"/>
    <w:rsid w:val="00E71D87"/>
    <w:rsid w:val="00E72283"/>
    <w:rsid w:val="00E76C10"/>
    <w:rsid w:val="00E85A79"/>
    <w:rsid w:val="00E86211"/>
    <w:rsid w:val="00E912EB"/>
    <w:rsid w:val="00E92681"/>
    <w:rsid w:val="00E94930"/>
    <w:rsid w:val="00E94DDE"/>
    <w:rsid w:val="00E95BB8"/>
    <w:rsid w:val="00E96196"/>
    <w:rsid w:val="00EA1C50"/>
    <w:rsid w:val="00EA630A"/>
    <w:rsid w:val="00EA787E"/>
    <w:rsid w:val="00EB15A1"/>
    <w:rsid w:val="00EB26AA"/>
    <w:rsid w:val="00EC0976"/>
    <w:rsid w:val="00EC24C7"/>
    <w:rsid w:val="00ED322E"/>
    <w:rsid w:val="00EE7B74"/>
    <w:rsid w:val="00EF19A5"/>
    <w:rsid w:val="00EF3FD9"/>
    <w:rsid w:val="00EF4CE6"/>
    <w:rsid w:val="00F028BE"/>
    <w:rsid w:val="00F06485"/>
    <w:rsid w:val="00F076CD"/>
    <w:rsid w:val="00F109BF"/>
    <w:rsid w:val="00F10A69"/>
    <w:rsid w:val="00F110F1"/>
    <w:rsid w:val="00F1220D"/>
    <w:rsid w:val="00F126C7"/>
    <w:rsid w:val="00F135AF"/>
    <w:rsid w:val="00F139C9"/>
    <w:rsid w:val="00F15111"/>
    <w:rsid w:val="00F1530C"/>
    <w:rsid w:val="00F16196"/>
    <w:rsid w:val="00F16247"/>
    <w:rsid w:val="00F231C4"/>
    <w:rsid w:val="00F2366C"/>
    <w:rsid w:val="00F249D1"/>
    <w:rsid w:val="00F276C3"/>
    <w:rsid w:val="00F30DAB"/>
    <w:rsid w:val="00F31902"/>
    <w:rsid w:val="00F325DB"/>
    <w:rsid w:val="00F329DB"/>
    <w:rsid w:val="00F41447"/>
    <w:rsid w:val="00F47CB2"/>
    <w:rsid w:val="00F51218"/>
    <w:rsid w:val="00F51D7A"/>
    <w:rsid w:val="00F615AC"/>
    <w:rsid w:val="00F61920"/>
    <w:rsid w:val="00F65F7C"/>
    <w:rsid w:val="00F73C6A"/>
    <w:rsid w:val="00F76A69"/>
    <w:rsid w:val="00F80E0A"/>
    <w:rsid w:val="00F847FD"/>
    <w:rsid w:val="00F9167E"/>
    <w:rsid w:val="00F93D5A"/>
    <w:rsid w:val="00F976E0"/>
    <w:rsid w:val="00FA41B7"/>
    <w:rsid w:val="00FA50A9"/>
    <w:rsid w:val="00FA689A"/>
    <w:rsid w:val="00FB3A55"/>
    <w:rsid w:val="00FB43AC"/>
    <w:rsid w:val="00FB5D34"/>
    <w:rsid w:val="00FC17EE"/>
    <w:rsid w:val="00FC5AE6"/>
    <w:rsid w:val="00FC6B84"/>
    <w:rsid w:val="00FD4511"/>
    <w:rsid w:val="00FD58CA"/>
    <w:rsid w:val="00FE03DE"/>
    <w:rsid w:val="00FE78E3"/>
    <w:rsid w:val="00FE7EC5"/>
    <w:rsid w:val="00FF20BF"/>
    <w:rsid w:val="00FF2390"/>
    <w:rsid w:val="00FF6BAA"/>
    <w:rsid w:val="00FF7A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C03E"/>
  <w15:docId w15:val="{4270AC7E-1CA2-4114-82D4-4671492F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53B3"/>
    <w:pPr>
      <w:keepNext/>
      <w:keepLines/>
      <w:numPr>
        <w:numId w:val="1"/>
      </w:numPr>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MX" w:eastAsia="es-ES"/>
    </w:rPr>
  </w:style>
  <w:style w:type="paragraph" w:styleId="Ttulo2">
    <w:name w:val="heading 2"/>
    <w:basedOn w:val="Normal"/>
    <w:next w:val="Normal"/>
    <w:link w:val="Ttulo2Car"/>
    <w:uiPriority w:val="9"/>
    <w:unhideWhenUsed/>
    <w:qFormat/>
    <w:rsid w:val="007553B3"/>
    <w:pPr>
      <w:keepNext/>
      <w:keepLines/>
      <w:numPr>
        <w:ilvl w:val="1"/>
        <w:numId w:val="1"/>
      </w:numPr>
      <w:spacing w:before="200" w:after="0" w:line="240" w:lineRule="auto"/>
      <w:jc w:val="both"/>
      <w:outlineLvl w:val="1"/>
    </w:pPr>
    <w:rPr>
      <w:rFonts w:asciiTheme="majorHAnsi" w:eastAsiaTheme="majorEastAsia" w:hAnsiTheme="majorHAnsi" w:cstheme="majorBidi"/>
      <w:b/>
      <w:bCs/>
      <w:color w:val="4F81BD" w:themeColor="accent1"/>
      <w:sz w:val="26"/>
      <w:szCs w:val="26"/>
      <w:lang w:val="es-MX" w:eastAsia="es-ES"/>
    </w:rPr>
  </w:style>
  <w:style w:type="paragraph" w:styleId="Ttulo4">
    <w:name w:val="heading 4"/>
    <w:basedOn w:val="Normal"/>
    <w:next w:val="Normal"/>
    <w:link w:val="Ttulo4Car"/>
    <w:uiPriority w:val="9"/>
    <w:unhideWhenUsed/>
    <w:qFormat/>
    <w:rsid w:val="007553B3"/>
    <w:pPr>
      <w:keepNext/>
      <w:keepLines/>
      <w:numPr>
        <w:ilvl w:val="3"/>
        <w:numId w:val="1"/>
      </w:numPr>
      <w:spacing w:before="200" w:after="0" w:line="240" w:lineRule="auto"/>
      <w:jc w:val="both"/>
      <w:outlineLvl w:val="3"/>
    </w:pPr>
    <w:rPr>
      <w:rFonts w:asciiTheme="majorHAnsi" w:eastAsiaTheme="majorEastAsia" w:hAnsiTheme="majorHAnsi" w:cstheme="majorBidi"/>
      <w:b/>
      <w:bCs/>
      <w:i/>
      <w:iCs/>
      <w:color w:val="4F81BD" w:themeColor="accent1"/>
      <w:sz w:val="24"/>
      <w:szCs w:val="20"/>
      <w:lang w:val="es-MX" w:eastAsia="es-ES"/>
    </w:rPr>
  </w:style>
  <w:style w:type="paragraph" w:styleId="Ttulo5">
    <w:name w:val="heading 5"/>
    <w:basedOn w:val="Normal"/>
    <w:next w:val="Normal"/>
    <w:link w:val="Ttulo5Car"/>
    <w:uiPriority w:val="9"/>
    <w:semiHidden/>
    <w:unhideWhenUsed/>
    <w:qFormat/>
    <w:rsid w:val="007553B3"/>
    <w:pPr>
      <w:keepNext/>
      <w:keepLines/>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 w:val="24"/>
      <w:szCs w:val="20"/>
      <w:lang w:val="es-MX" w:eastAsia="es-ES"/>
    </w:rPr>
  </w:style>
  <w:style w:type="paragraph" w:styleId="Ttulo6">
    <w:name w:val="heading 6"/>
    <w:basedOn w:val="Normal"/>
    <w:next w:val="Normal"/>
    <w:link w:val="Ttulo6Car"/>
    <w:uiPriority w:val="9"/>
    <w:semiHidden/>
    <w:unhideWhenUsed/>
    <w:qFormat/>
    <w:rsid w:val="007553B3"/>
    <w:pPr>
      <w:keepNext/>
      <w:keepLines/>
      <w:numPr>
        <w:ilvl w:val="5"/>
        <w:numId w:val="1"/>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lang w:val="es-MX" w:eastAsia="es-ES"/>
    </w:rPr>
  </w:style>
  <w:style w:type="paragraph" w:styleId="Ttulo7">
    <w:name w:val="heading 7"/>
    <w:basedOn w:val="Normal"/>
    <w:next w:val="Normal"/>
    <w:link w:val="Ttulo7Car"/>
    <w:uiPriority w:val="9"/>
    <w:semiHidden/>
    <w:unhideWhenUsed/>
    <w:qFormat/>
    <w:rsid w:val="007553B3"/>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val="es-MX" w:eastAsia="es-ES"/>
    </w:rPr>
  </w:style>
  <w:style w:type="paragraph" w:styleId="Ttulo8">
    <w:name w:val="heading 8"/>
    <w:basedOn w:val="Normal"/>
    <w:next w:val="Normal"/>
    <w:link w:val="Ttulo8Car"/>
    <w:uiPriority w:val="9"/>
    <w:semiHidden/>
    <w:unhideWhenUsed/>
    <w:qFormat/>
    <w:rsid w:val="007553B3"/>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MX" w:eastAsia="es-ES"/>
    </w:rPr>
  </w:style>
  <w:style w:type="paragraph" w:styleId="Ttulo9">
    <w:name w:val="heading 9"/>
    <w:basedOn w:val="Normal"/>
    <w:next w:val="Normal"/>
    <w:link w:val="Ttulo9Car"/>
    <w:uiPriority w:val="9"/>
    <w:semiHidden/>
    <w:unhideWhenUsed/>
    <w:qFormat/>
    <w:rsid w:val="007553B3"/>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5E63"/>
    <w:pPr>
      <w:spacing w:after="0" w:line="240" w:lineRule="auto"/>
      <w:jc w:val="both"/>
    </w:pPr>
    <w:rPr>
      <w:rFonts w:ascii="Arial" w:eastAsia="Times New Roman" w:hAnsi="Arial" w:cs="Times New Roman"/>
      <w:sz w:val="24"/>
      <w:szCs w:val="20"/>
      <w:lang w:val="es-MX" w:eastAsia="es-ES"/>
    </w:rPr>
  </w:style>
  <w:style w:type="character" w:customStyle="1" w:styleId="SinespaciadoCar">
    <w:name w:val="Sin espaciado Car"/>
    <w:basedOn w:val="Fuentedeprrafopredeter"/>
    <w:link w:val="Sinespaciado"/>
    <w:uiPriority w:val="1"/>
    <w:rsid w:val="002B5E63"/>
    <w:rPr>
      <w:rFonts w:ascii="Arial" w:eastAsia="Times New Roman" w:hAnsi="Arial" w:cs="Times New Roman"/>
      <w:sz w:val="24"/>
      <w:szCs w:val="20"/>
      <w:lang w:val="es-MX" w:eastAsia="es-ES"/>
    </w:rPr>
  </w:style>
  <w:style w:type="character" w:styleId="Hipervnculo">
    <w:name w:val="Hyperlink"/>
    <w:basedOn w:val="Fuentedeprrafopredeter"/>
    <w:uiPriority w:val="99"/>
    <w:unhideWhenUsed/>
    <w:rsid w:val="002B5E63"/>
    <w:rPr>
      <w:color w:val="0000FF" w:themeColor="hyperlink"/>
      <w:u w:val="single"/>
    </w:rPr>
  </w:style>
  <w:style w:type="character" w:customStyle="1" w:styleId="Ttulo1Car">
    <w:name w:val="Título 1 Car"/>
    <w:basedOn w:val="Fuentedeprrafopredeter"/>
    <w:link w:val="Ttulo1"/>
    <w:uiPriority w:val="9"/>
    <w:rsid w:val="007553B3"/>
    <w:rPr>
      <w:rFonts w:asciiTheme="majorHAnsi" w:eastAsiaTheme="majorEastAsia" w:hAnsiTheme="majorHAnsi" w:cstheme="majorBidi"/>
      <w:b/>
      <w:bCs/>
      <w:color w:val="365F91" w:themeColor="accent1" w:themeShade="BF"/>
      <w:sz w:val="28"/>
      <w:szCs w:val="28"/>
      <w:lang w:val="es-MX" w:eastAsia="es-ES"/>
    </w:rPr>
  </w:style>
  <w:style w:type="character" w:customStyle="1" w:styleId="Ttulo2Car">
    <w:name w:val="Título 2 Car"/>
    <w:basedOn w:val="Fuentedeprrafopredeter"/>
    <w:link w:val="Ttulo2"/>
    <w:uiPriority w:val="9"/>
    <w:rsid w:val="007553B3"/>
    <w:rPr>
      <w:rFonts w:asciiTheme="majorHAnsi" w:eastAsiaTheme="majorEastAsia" w:hAnsiTheme="majorHAnsi" w:cstheme="majorBidi"/>
      <w:b/>
      <w:bCs/>
      <w:color w:val="4F81BD" w:themeColor="accent1"/>
      <w:sz w:val="26"/>
      <w:szCs w:val="26"/>
      <w:lang w:val="es-MX" w:eastAsia="es-ES"/>
    </w:rPr>
  </w:style>
  <w:style w:type="character" w:customStyle="1" w:styleId="Ttulo4Car">
    <w:name w:val="Título 4 Car"/>
    <w:basedOn w:val="Fuentedeprrafopredeter"/>
    <w:link w:val="Ttulo4"/>
    <w:uiPriority w:val="9"/>
    <w:rsid w:val="007553B3"/>
    <w:rPr>
      <w:rFonts w:asciiTheme="majorHAnsi" w:eastAsiaTheme="majorEastAsia" w:hAnsiTheme="majorHAnsi" w:cstheme="majorBidi"/>
      <w:b/>
      <w:bCs/>
      <w:i/>
      <w:iCs/>
      <w:color w:val="4F81BD" w:themeColor="accent1"/>
      <w:sz w:val="24"/>
      <w:szCs w:val="20"/>
      <w:lang w:val="es-MX" w:eastAsia="es-ES"/>
    </w:rPr>
  </w:style>
  <w:style w:type="character" w:customStyle="1" w:styleId="Ttulo5Car">
    <w:name w:val="Título 5 Car"/>
    <w:basedOn w:val="Fuentedeprrafopredeter"/>
    <w:link w:val="Ttulo5"/>
    <w:uiPriority w:val="9"/>
    <w:semiHidden/>
    <w:rsid w:val="007553B3"/>
    <w:rPr>
      <w:rFonts w:asciiTheme="majorHAnsi" w:eastAsiaTheme="majorEastAsia" w:hAnsiTheme="majorHAnsi" w:cstheme="majorBidi"/>
      <w:color w:val="243F60" w:themeColor="accent1" w:themeShade="7F"/>
      <w:sz w:val="24"/>
      <w:szCs w:val="20"/>
      <w:lang w:val="es-MX" w:eastAsia="es-ES"/>
    </w:rPr>
  </w:style>
  <w:style w:type="character" w:customStyle="1" w:styleId="Ttulo6Car">
    <w:name w:val="Título 6 Car"/>
    <w:basedOn w:val="Fuentedeprrafopredeter"/>
    <w:link w:val="Ttulo6"/>
    <w:uiPriority w:val="9"/>
    <w:semiHidden/>
    <w:rsid w:val="007553B3"/>
    <w:rPr>
      <w:rFonts w:asciiTheme="majorHAnsi" w:eastAsiaTheme="majorEastAsia" w:hAnsiTheme="majorHAnsi" w:cstheme="majorBidi"/>
      <w:i/>
      <w:iCs/>
      <w:color w:val="243F60" w:themeColor="accent1" w:themeShade="7F"/>
      <w:sz w:val="24"/>
      <w:szCs w:val="20"/>
      <w:lang w:val="es-MX" w:eastAsia="es-ES"/>
    </w:rPr>
  </w:style>
  <w:style w:type="character" w:customStyle="1" w:styleId="Ttulo7Car">
    <w:name w:val="Título 7 Car"/>
    <w:basedOn w:val="Fuentedeprrafopredeter"/>
    <w:link w:val="Ttulo7"/>
    <w:uiPriority w:val="9"/>
    <w:semiHidden/>
    <w:rsid w:val="007553B3"/>
    <w:rPr>
      <w:rFonts w:asciiTheme="majorHAnsi" w:eastAsiaTheme="majorEastAsia" w:hAnsiTheme="majorHAnsi" w:cstheme="majorBidi"/>
      <w:i/>
      <w:iCs/>
      <w:color w:val="404040" w:themeColor="text1" w:themeTint="BF"/>
      <w:sz w:val="24"/>
      <w:szCs w:val="20"/>
      <w:lang w:val="es-MX" w:eastAsia="es-ES"/>
    </w:rPr>
  </w:style>
  <w:style w:type="character" w:customStyle="1" w:styleId="Ttulo8Car">
    <w:name w:val="Título 8 Car"/>
    <w:basedOn w:val="Fuentedeprrafopredeter"/>
    <w:link w:val="Ttulo8"/>
    <w:uiPriority w:val="9"/>
    <w:semiHidden/>
    <w:rsid w:val="007553B3"/>
    <w:rPr>
      <w:rFonts w:asciiTheme="majorHAnsi" w:eastAsiaTheme="majorEastAsia" w:hAnsiTheme="majorHAnsi" w:cstheme="majorBidi"/>
      <w:color w:val="404040" w:themeColor="text1" w:themeTint="BF"/>
      <w:sz w:val="20"/>
      <w:szCs w:val="20"/>
      <w:lang w:val="es-MX" w:eastAsia="es-ES"/>
    </w:rPr>
  </w:style>
  <w:style w:type="character" w:customStyle="1" w:styleId="Ttulo9Car">
    <w:name w:val="Título 9 Car"/>
    <w:basedOn w:val="Fuentedeprrafopredeter"/>
    <w:link w:val="Ttulo9"/>
    <w:uiPriority w:val="9"/>
    <w:semiHidden/>
    <w:rsid w:val="007553B3"/>
    <w:rPr>
      <w:rFonts w:asciiTheme="majorHAnsi" w:eastAsiaTheme="majorEastAsia" w:hAnsiTheme="majorHAnsi" w:cstheme="majorBidi"/>
      <w:i/>
      <w:iCs/>
      <w:color w:val="404040" w:themeColor="text1" w:themeTint="BF"/>
      <w:sz w:val="20"/>
      <w:szCs w:val="20"/>
      <w:lang w:val="es-MX" w:eastAsia="es-ES"/>
    </w:rPr>
  </w:style>
  <w:style w:type="paragraph" w:styleId="Prrafodelista">
    <w:name w:val="List Paragraph"/>
    <w:basedOn w:val="Normal"/>
    <w:uiPriority w:val="34"/>
    <w:qFormat/>
    <w:rsid w:val="00B31D8D"/>
    <w:pPr>
      <w:ind w:left="720"/>
      <w:contextualSpacing/>
    </w:pPr>
  </w:style>
  <w:style w:type="paragraph" w:styleId="NormalWeb">
    <w:name w:val="Normal (Web)"/>
    <w:basedOn w:val="Normal"/>
    <w:uiPriority w:val="99"/>
    <w:semiHidden/>
    <w:unhideWhenUsed/>
    <w:rsid w:val="00B46BD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2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B68CA"/>
    <w:pPr>
      <w:spacing w:line="240" w:lineRule="auto"/>
      <w:jc w:val="both"/>
    </w:pPr>
    <w:rPr>
      <w:rFonts w:ascii="Arial" w:eastAsia="Times New Roman" w:hAnsi="Arial" w:cs="Times New Roman"/>
      <w:b/>
      <w:bCs/>
      <w:color w:val="4F81BD" w:themeColor="accent1"/>
      <w:sz w:val="18"/>
      <w:szCs w:val="18"/>
      <w:lang w:val="es-MX" w:eastAsia="es-ES"/>
    </w:rPr>
  </w:style>
  <w:style w:type="table" w:styleId="Tablaconcuadrcula">
    <w:name w:val="Table Grid"/>
    <w:basedOn w:val="Tablanormal"/>
    <w:uiPriority w:val="59"/>
    <w:rsid w:val="002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06A85"/>
    <w:pPr>
      <w:tabs>
        <w:tab w:val="center" w:pos="4320"/>
        <w:tab w:val="right" w:pos="8640"/>
      </w:tabs>
      <w:spacing w:after="0" w:line="240" w:lineRule="auto"/>
      <w:jc w:val="both"/>
    </w:pPr>
    <w:rPr>
      <w:rFonts w:ascii="Times New Roman" w:eastAsia="Times New Roman" w:hAnsi="Times New Roman" w:cs="Times New Roman"/>
      <w:szCs w:val="20"/>
      <w:lang w:val="en-US"/>
    </w:rPr>
  </w:style>
  <w:style w:type="character" w:customStyle="1" w:styleId="PiedepginaCar">
    <w:name w:val="Pie de página Car"/>
    <w:basedOn w:val="Fuentedeprrafopredeter"/>
    <w:link w:val="Piedepgina"/>
    <w:rsid w:val="00606A85"/>
    <w:rPr>
      <w:rFonts w:ascii="Times New Roman" w:eastAsia="Times New Roman" w:hAnsi="Times New Roman" w:cs="Times New Roman"/>
      <w:szCs w:val="20"/>
      <w:lang w:val="en-US"/>
    </w:rPr>
  </w:style>
  <w:style w:type="paragraph" w:styleId="Textodeglobo">
    <w:name w:val="Balloon Text"/>
    <w:basedOn w:val="Normal"/>
    <w:link w:val="TextodegloboCar"/>
    <w:uiPriority w:val="99"/>
    <w:semiHidden/>
    <w:unhideWhenUsed/>
    <w:rsid w:val="001E7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panama.org.pa" TargetMode="External"/><Relationship Id="rId3" Type="http://schemas.openxmlformats.org/officeDocument/2006/relationships/styles" Target="styles.xml"/><Relationship Id="rId7" Type="http://schemas.openxmlformats.org/officeDocument/2006/relationships/hyperlink" Target="mailto:yamileth.pitti@utp.ac.p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tor.guillen@utp.ac.p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i.org/10.1016/j.sbspro.2012.09.444" TargetMode="External"/><Relationship Id="rId4" Type="http://schemas.openxmlformats.org/officeDocument/2006/relationships/settings" Target="settings.xml"/><Relationship Id="rId9" Type="http://schemas.openxmlformats.org/officeDocument/2006/relationships/hyperlink" Target="http://db.ricy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2D5C-A29C-43F5-9B8F-741A486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3171</Words>
  <Characters>17442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VIPE</dc:creator>
  <cp:lastModifiedBy>Ricardo Murgas</cp:lastModifiedBy>
  <cp:revision>3</cp:revision>
  <cp:lastPrinted>2017-05-11T19:45:00Z</cp:lastPrinted>
  <dcterms:created xsi:type="dcterms:W3CDTF">2017-05-15T19:19:00Z</dcterms:created>
  <dcterms:modified xsi:type="dcterms:W3CDTF">2017-08-29T21:43:00Z</dcterms:modified>
</cp:coreProperties>
</file>