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08D" w:rsidRPr="000E208D" w:rsidRDefault="00676251" w:rsidP="000B6C15">
      <w:pPr>
        <w:jc w:val="both"/>
        <w:rPr>
          <w:rFonts w:ascii="Times New Roman" w:hAnsi="Times New Roman" w:cs="Times New Roman"/>
          <w:b/>
          <w:bCs/>
          <w:sz w:val="24"/>
          <w:szCs w:val="24"/>
        </w:rPr>
      </w:pPr>
      <w:bookmarkStart w:id="0" w:name="_GoBack"/>
      <w:r>
        <w:rPr>
          <w:rFonts w:ascii="Times New Roman" w:hAnsi="Times New Roman" w:cs="Times New Roman"/>
          <w:b/>
          <w:bCs/>
          <w:sz w:val="24"/>
          <w:szCs w:val="24"/>
        </w:rPr>
        <w:t>Supplementary</w:t>
      </w:r>
      <w:r w:rsidR="000E208D" w:rsidRPr="000E208D">
        <w:rPr>
          <w:rFonts w:ascii="Times New Roman" w:hAnsi="Times New Roman" w:cs="Times New Roman"/>
          <w:b/>
          <w:bCs/>
          <w:sz w:val="24"/>
          <w:szCs w:val="24"/>
        </w:rPr>
        <w:t xml:space="preserve"> 1- data extraction table</w:t>
      </w:r>
    </w:p>
    <w:bookmarkEnd w:id="0"/>
    <w:p w:rsidR="000E208D" w:rsidRPr="000E208D" w:rsidRDefault="000E208D" w:rsidP="000E208D">
      <w:pPr>
        <w:rPr>
          <w:rFonts w:ascii="Times New Roman" w:hAnsi="Times New Roman" w:cs="Times New Roman"/>
          <w:b/>
          <w:bCs/>
          <w:sz w:val="20"/>
          <w:szCs w:val="20"/>
        </w:rPr>
      </w:pPr>
      <w:r w:rsidRPr="000E208D">
        <w:rPr>
          <w:rFonts w:ascii="Times New Roman" w:hAnsi="Times New Roman" w:cs="Times New Roman"/>
          <w:b/>
          <w:bCs/>
          <w:sz w:val="20"/>
          <w:szCs w:val="20"/>
        </w:rPr>
        <w:br w:type="page"/>
      </w:r>
    </w:p>
    <w:tbl>
      <w:tblPr>
        <w:tblStyle w:val="TableGrid"/>
        <w:tblpPr w:leftFromText="180" w:rightFromText="180" w:vertAnchor="page" w:horzAnchor="page" w:tblpX="99" w:tblpY="581"/>
        <w:tblW w:w="15588" w:type="dxa"/>
        <w:tblLayout w:type="fixed"/>
        <w:tblLook w:val="04A0" w:firstRow="1" w:lastRow="0" w:firstColumn="1" w:lastColumn="0" w:noHBand="0" w:noVBand="1"/>
      </w:tblPr>
      <w:tblGrid>
        <w:gridCol w:w="562"/>
        <w:gridCol w:w="567"/>
        <w:gridCol w:w="426"/>
        <w:gridCol w:w="1417"/>
        <w:gridCol w:w="567"/>
        <w:gridCol w:w="851"/>
        <w:gridCol w:w="1134"/>
        <w:gridCol w:w="708"/>
        <w:gridCol w:w="851"/>
        <w:gridCol w:w="992"/>
        <w:gridCol w:w="1418"/>
        <w:gridCol w:w="992"/>
        <w:gridCol w:w="567"/>
        <w:gridCol w:w="1843"/>
        <w:gridCol w:w="1134"/>
        <w:gridCol w:w="1559"/>
      </w:tblGrid>
      <w:tr w:rsidR="0081233D" w:rsidRPr="0081233D" w:rsidTr="000316A2">
        <w:tc>
          <w:tcPr>
            <w:tcW w:w="562"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lastRenderedPageBreak/>
              <w:t>Study number</w:t>
            </w:r>
          </w:p>
        </w:tc>
        <w:tc>
          <w:tcPr>
            <w:tcW w:w="567"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First author</w:t>
            </w:r>
          </w:p>
        </w:tc>
        <w:tc>
          <w:tcPr>
            <w:tcW w:w="426"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Year</w:t>
            </w:r>
          </w:p>
        </w:tc>
        <w:tc>
          <w:tcPr>
            <w:tcW w:w="1417"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title</w:t>
            </w:r>
          </w:p>
        </w:tc>
        <w:tc>
          <w:tcPr>
            <w:tcW w:w="567"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country</w:t>
            </w:r>
          </w:p>
        </w:tc>
        <w:tc>
          <w:tcPr>
            <w:tcW w:w="851"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Setting</w:t>
            </w:r>
          </w:p>
        </w:tc>
        <w:tc>
          <w:tcPr>
            <w:tcW w:w="1134"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 xml:space="preserve">Sample size and </w:t>
            </w:r>
            <w:r w:rsidR="0051045A">
              <w:rPr>
                <w:rFonts w:ascii="Times New Roman" w:hAnsi="Times New Roman" w:cs="Times New Roman"/>
                <w:sz w:val="10"/>
                <w:szCs w:val="10"/>
              </w:rPr>
              <w:t>characterestic</w:t>
            </w:r>
          </w:p>
        </w:tc>
        <w:tc>
          <w:tcPr>
            <w:tcW w:w="708"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Sample method</w:t>
            </w:r>
          </w:p>
        </w:tc>
        <w:tc>
          <w:tcPr>
            <w:tcW w:w="851"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Study design</w:t>
            </w:r>
          </w:p>
        </w:tc>
        <w:tc>
          <w:tcPr>
            <w:tcW w:w="992"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Platform</w:t>
            </w:r>
          </w:p>
        </w:tc>
        <w:tc>
          <w:tcPr>
            <w:tcW w:w="1418"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lang w:bidi="fa-IR"/>
              </w:rPr>
              <w:t>Data collection tools</w:t>
            </w:r>
          </w:p>
        </w:tc>
        <w:tc>
          <w:tcPr>
            <w:tcW w:w="992" w:type="dxa"/>
          </w:tcPr>
          <w:p w:rsidR="0081233D" w:rsidRPr="0081233D" w:rsidRDefault="0051045A" w:rsidP="00A81CDD">
            <w:pPr>
              <w:jc w:val="center"/>
              <w:rPr>
                <w:rFonts w:ascii="Times New Roman" w:hAnsi="Times New Roman" w:cs="Times New Roman"/>
                <w:sz w:val="10"/>
                <w:szCs w:val="10"/>
                <w:lang w:bidi="fa-IR"/>
              </w:rPr>
            </w:pPr>
            <w:r>
              <w:rPr>
                <w:rFonts w:ascii="Times New Roman" w:hAnsi="Times New Roman" w:cs="Times New Roman"/>
                <w:sz w:val="10"/>
                <w:szCs w:val="10"/>
              </w:rPr>
              <w:t>analyzing</w:t>
            </w:r>
            <w:r w:rsidR="0081233D" w:rsidRPr="0081233D">
              <w:rPr>
                <w:rFonts w:ascii="Times New Roman" w:hAnsi="Times New Roman" w:cs="Times New Roman"/>
                <w:sz w:val="10"/>
                <w:szCs w:val="10"/>
              </w:rPr>
              <w:t xml:space="preserve"> tools</w:t>
            </w:r>
          </w:p>
        </w:tc>
        <w:tc>
          <w:tcPr>
            <w:tcW w:w="567"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Result</w:t>
            </w:r>
          </w:p>
        </w:tc>
        <w:tc>
          <w:tcPr>
            <w:tcW w:w="1843" w:type="dxa"/>
          </w:tcPr>
          <w:p w:rsidR="0081233D" w:rsidRPr="0081233D" w:rsidRDefault="0081233D" w:rsidP="00A81CDD">
            <w:pPr>
              <w:jc w:val="center"/>
              <w:rPr>
                <w:rFonts w:ascii="Times New Roman" w:hAnsi="Times New Roman" w:cs="Times New Roman"/>
                <w:sz w:val="10"/>
                <w:szCs w:val="10"/>
              </w:rPr>
            </w:pPr>
            <w:r w:rsidRPr="0081233D">
              <w:rPr>
                <w:rFonts w:ascii="Times New Roman" w:hAnsi="Times New Roman" w:cs="Times New Roman"/>
                <w:sz w:val="10"/>
                <w:szCs w:val="10"/>
              </w:rPr>
              <w:t>Implementation</w:t>
            </w:r>
          </w:p>
        </w:tc>
        <w:tc>
          <w:tcPr>
            <w:tcW w:w="1134" w:type="dxa"/>
          </w:tcPr>
          <w:p w:rsidR="0081233D" w:rsidRPr="0081233D" w:rsidRDefault="0081233D" w:rsidP="00A81CDD">
            <w:pPr>
              <w:jc w:val="center"/>
              <w:rPr>
                <w:rFonts w:ascii="Times New Roman" w:hAnsi="Times New Roman" w:cs="Times New Roman"/>
                <w:sz w:val="10"/>
                <w:szCs w:val="10"/>
              </w:rPr>
            </w:pPr>
            <w:r>
              <w:rPr>
                <w:rFonts w:ascii="Times New Roman" w:hAnsi="Times New Roman" w:cs="Times New Roman"/>
                <w:sz w:val="10"/>
                <w:szCs w:val="10"/>
              </w:rPr>
              <w:t>Result description</w:t>
            </w:r>
          </w:p>
        </w:tc>
        <w:tc>
          <w:tcPr>
            <w:tcW w:w="1559" w:type="dxa"/>
          </w:tcPr>
          <w:p w:rsidR="0081233D" w:rsidRDefault="0081233D" w:rsidP="00A81CDD">
            <w:pPr>
              <w:jc w:val="center"/>
              <w:rPr>
                <w:rFonts w:ascii="Times New Roman" w:hAnsi="Times New Roman" w:cs="Times New Roman"/>
                <w:sz w:val="10"/>
                <w:szCs w:val="10"/>
              </w:rPr>
            </w:pPr>
            <w:r>
              <w:rPr>
                <w:rFonts w:ascii="Times New Roman" w:hAnsi="Times New Roman" w:cs="Times New Roman"/>
                <w:sz w:val="10"/>
                <w:szCs w:val="10"/>
              </w:rPr>
              <w:t>conclusion</w:t>
            </w:r>
          </w:p>
        </w:tc>
      </w:tr>
      <w:tr w:rsidR="0081233D" w:rsidRPr="0081233D" w:rsidTr="000316A2">
        <w:tc>
          <w:tcPr>
            <w:tcW w:w="56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1</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Di Chen</w:t>
            </w:r>
          </w:p>
        </w:tc>
        <w:tc>
          <w:tcPr>
            <w:tcW w:w="426"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2021</w:t>
            </w:r>
          </w:p>
        </w:tc>
        <w:tc>
          <w:tcPr>
            <w:tcW w:w="141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A Deep Learning Model for Screening Multiple Abnormal Findings in Ophthalmic Ultrasonography (With Video)</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China</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Renmin Hospital of Wuhan University</w:t>
            </w:r>
          </w:p>
        </w:tc>
        <w:tc>
          <w:tcPr>
            <w:tcW w:w="1134"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10 trainees, none who had any prior experience or training in ultrasound in this study</w:t>
            </w:r>
          </w:p>
        </w:tc>
        <w:tc>
          <w:tcPr>
            <w:tcW w:w="708"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unclear</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Before–after (pre–post) study</w:t>
            </w:r>
          </w:p>
        </w:tc>
        <w:tc>
          <w:tcPr>
            <w:tcW w:w="99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A Deep Learning Model for Screening Multiple Abnormal Findings in Ophthalmic Ultrasonography (With Video)</w:t>
            </w:r>
          </w:p>
        </w:tc>
        <w:tc>
          <w:tcPr>
            <w:tcW w:w="1418"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criteria for evaluating the performance of each model were optimized from 0 to 1 with values greater than 0.90, ranging between 0.8 and 0.9, between 0.5 and 0.79, and less than 0.5 defined as the highest, good, moderate, and poor performance in the present study</w:t>
            </w:r>
          </w:p>
          <w:p w:rsidR="0081233D" w:rsidRPr="0081233D" w:rsidRDefault="0081233D" w:rsidP="0081233D">
            <w:pPr>
              <w:jc w:val="center"/>
              <w:rPr>
                <w:rFonts w:ascii="Times New Roman" w:hAnsi="Times New Roman" w:cs="Times New Roman"/>
                <w:sz w:val="10"/>
                <w:szCs w:val="10"/>
              </w:rPr>
            </w:pPr>
          </w:p>
        </w:tc>
        <w:tc>
          <w:tcPr>
            <w:tcW w:w="992"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χ2 test and Mann-Whitney U test(spss 23 and medcalc)</w:t>
            </w:r>
          </w:p>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p>
        </w:tc>
        <w:tc>
          <w:tcPr>
            <w:tcW w:w="567"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Pr>
                <w:rFonts w:ascii="Times New Roman" w:hAnsi="Times New Roman" w:cs="Times New Roman"/>
                <w:sz w:val="10"/>
                <w:szCs w:val="10"/>
              </w:rPr>
              <w:t>Positive</w:t>
            </w:r>
          </w:p>
        </w:tc>
        <w:tc>
          <w:tcPr>
            <w:tcW w:w="1843"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In order to assess the effect of the model in improving lesions recognition of the trainees, we included 10 trainees, none who had any prior experience or training in ultrasound in this study. First, the trainees were asked to read the images without the model assistant. Then, after 2 weeks to washout, the trainees were asked to read the images with the model assistant in the same images.</w:t>
            </w:r>
          </w:p>
        </w:tc>
        <w:tc>
          <w:tcPr>
            <w:tcW w:w="1134" w:type="dxa"/>
          </w:tcPr>
          <w:p w:rsidR="0081233D" w:rsidRPr="0081233D" w:rsidRDefault="0081233D" w:rsidP="0081233D">
            <w:pPr>
              <w:shd w:val="clear" w:color="auto" w:fill="FFFFFF" w:themeFill="background1"/>
              <w:spacing w:after="160"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trainees had an accuracy of 0.84 (95% CI = 0.83–0.86) without the model assistant and a 0.94 (95% CI = 0.93–0.95) accuracy with the assistant</w:t>
            </w:r>
            <w:r w:rsidR="0051045A">
              <w:rPr>
                <w:rFonts w:ascii="Times New Roman" w:hAnsi="Times New Roman" w:cs="Times New Roman"/>
                <w:sz w:val="10"/>
                <w:szCs w:val="10"/>
              </w:rPr>
              <w:t xml:space="preserve"> </w:t>
            </w:r>
            <w:r w:rsidRPr="0081233D">
              <w:rPr>
                <w:rFonts w:ascii="Times New Roman" w:hAnsi="Times New Roman" w:cs="Times New Roman"/>
                <w:sz w:val="10"/>
                <w:szCs w:val="10"/>
              </w:rPr>
              <w:t>With the model assistant, we could see the mean accuracy of the trainees had a statistically significant increase (0.10, 95% CI = 0.01–0.21, P &lt; 0.05).</w:t>
            </w:r>
          </w:p>
        </w:tc>
        <w:tc>
          <w:tcPr>
            <w:tcW w:w="1559" w:type="dxa"/>
          </w:tcPr>
          <w:p w:rsidR="0081233D" w:rsidRPr="0081233D" w:rsidRDefault="0081233D" w:rsidP="0081233D">
            <w:pPr>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model could serve as a screening tool to rapidly identify patients with RD, VD, and VH. In addition, it also has potential to be a good tool to assist training</w:t>
            </w:r>
          </w:p>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p>
        </w:tc>
      </w:tr>
      <w:tr w:rsidR="0081233D" w:rsidRPr="0081233D" w:rsidTr="000316A2">
        <w:tc>
          <w:tcPr>
            <w:tcW w:w="56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2</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Rogerio Garcia</w:t>
            </w:r>
          </w:p>
        </w:tc>
        <w:tc>
          <w:tcPr>
            <w:tcW w:w="426"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2022</w:t>
            </w:r>
          </w:p>
        </w:tc>
        <w:tc>
          <w:tcPr>
            <w:tcW w:w="141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Evaluation of Artificial Intelligence-Based Intraoperative Guidance Tools for Phacoemulsification Cataract Surgery</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USA</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University of Illinois at Chicago</w:t>
            </w:r>
          </w:p>
        </w:tc>
        <w:tc>
          <w:tcPr>
            <w:tcW w:w="1134"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4 resident physicians, 3 clinical fellows, and 4 attending physician cataract instructors</w:t>
            </w:r>
          </w:p>
        </w:tc>
        <w:tc>
          <w:tcPr>
            <w:tcW w:w="708"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Unclear</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Cross-sectional</w:t>
            </w:r>
          </w:p>
        </w:tc>
        <w:tc>
          <w:tcPr>
            <w:tcW w:w="99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Artificial Intelligence–Based Intraoperative Guidance Tools for Phacoemulsification Cataract Surgery</w:t>
            </w:r>
          </w:p>
        </w:tc>
        <w:tc>
          <w:tcPr>
            <w:tcW w:w="1418"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a 12-item questionnaire</w:t>
            </w:r>
          </w:p>
          <w:p w:rsidR="0081233D" w:rsidRPr="0081233D" w:rsidRDefault="0081233D" w:rsidP="0081233D">
            <w:pPr>
              <w:jc w:val="center"/>
              <w:rPr>
                <w:rFonts w:ascii="Times New Roman" w:hAnsi="Times New Roman" w:cs="Times New Roman"/>
                <w:sz w:val="10"/>
                <w:szCs w:val="10"/>
              </w:rPr>
            </w:pPr>
          </w:p>
        </w:tc>
        <w:tc>
          <w:tcPr>
            <w:tcW w:w="992"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post hoc evaluation(post asse</w:t>
            </w:r>
            <w:r w:rsidR="0051045A">
              <w:rPr>
                <w:rFonts w:ascii="Times New Roman" w:hAnsi="Times New Roman" w:cs="Times New Roman"/>
                <w:sz w:val="10"/>
                <w:szCs w:val="10"/>
              </w:rPr>
              <w:t>s</w:t>
            </w:r>
            <w:r w:rsidRPr="0081233D">
              <w:rPr>
                <w:rFonts w:ascii="Times New Roman" w:hAnsi="Times New Roman" w:cs="Times New Roman"/>
                <w:sz w:val="10"/>
                <w:szCs w:val="10"/>
              </w:rPr>
              <w:t>sment survey</w:t>
            </w:r>
          </w:p>
        </w:tc>
        <w:tc>
          <w:tcPr>
            <w:tcW w:w="567"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Pr>
                <w:rFonts w:ascii="Times New Roman" w:hAnsi="Times New Roman" w:cs="Times New Roman"/>
                <w:sz w:val="10"/>
                <w:szCs w:val="10"/>
              </w:rPr>
              <w:t>Positive</w:t>
            </w:r>
          </w:p>
        </w:tc>
        <w:tc>
          <w:tcPr>
            <w:tcW w:w="1843"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After description of the surgical guidance platform, surgeons watched a compilation of different surgical phases of the 2 videos via a 3-dimensional video monitor at the. Contributors were then asked to complete a postassessment survey.Eleven phacoemulsification cataract surgeons (4 resident physicians, 3 clinical fellows, and 4 attending physician cataract instructors) performed a post hoc evaluation of the surgical guidance platform.</w:t>
            </w:r>
          </w:p>
        </w:tc>
        <w:tc>
          <w:tcPr>
            <w:tcW w:w="1134"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8 respondents (72%) were mostly or extremely likely to use the guidance tool for complex cataract procedures, whereas 5 (45%) considered it useful for noncomplex cataract procedures. A total of 10 participants (91%) considered the pupil tracking and phase classification tools mostly or extremely accurate. All participants judged the platform beneficial. surgical guidance in phacoemulsification procedures.</w:t>
            </w:r>
          </w:p>
        </w:tc>
        <w:tc>
          <w:tcPr>
            <w:tcW w:w="1559" w:type="dxa"/>
          </w:tcPr>
          <w:p w:rsidR="0081233D" w:rsidRPr="0081233D" w:rsidRDefault="0081233D" w:rsidP="0081233D">
            <w:pPr>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approach used in this study demonstrated the feasibility of integration between surgical microscopes and artificial intelligence–based platforms to provide surgical guidance in real time. Feedback to the surgeon on the turbulent flow of lens fragments and/or brusque movements of microsurgical instruments may potentially enhance the surgeon’s experience during cataract surgery, and adaptative contrast enhancement improved visualization of the capsulorhexis, lens fragments, and cortical lens fibers..</w:t>
            </w:r>
          </w:p>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p>
        </w:tc>
      </w:tr>
      <w:tr w:rsidR="0081233D" w:rsidRPr="0081233D" w:rsidTr="000316A2">
        <w:tc>
          <w:tcPr>
            <w:tcW w:w="56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3</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Ruoan Han</w:t>
            </w:r>
          </w:p>
        </w:tc>
        <w:tc>
          <w:tcPr>
            <w:tcW w:w="426"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2022</w:t>
            </w:r>
          </w:p>
        </w:tc>
        <w:tc>
          <w:tcPr>
            <w:tcW w:w="141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Using artificial intelligence reading label system in diabetic retinopathy grading training of junior ophthalmology residents and medical students</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China</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Peking union medical college hospital</w:t>
            </w:r>
          </w:p>
        </w:tc>
        <w:tc>
          <w:tcPr>
            <w:tcW w:w="1134"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6 junior ophthalmology residents and 7 medical students</w:t>
            </w:r>
          </w:p>
        </w:tc>
        <w:tc>
          <w:tcPr>
            <w:tcW w:w="708"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Randomly</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Before–after (pre–post) study</w:t>
            </w:r>
          </w:p>
        </w:tc>
        <w:tc>
          <w:tcPr>
            <w:tcW w:w="99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artificial intelligence reading label system in diabetic retinopathy grading(deep learning)</w:t>
            </w:r>
          </w:p>
        </w:tc>
        <w:tc>
          <w:tcPr>
            <w:tcW w:w="1418"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Diagnosis results were collected according to the diagnosis golden gold standard</w:t>
            </w:r>
          </w:p>
          <w:p w:rsidR="0081233D" w:rsidRPr="0081233D" w:rsidRDefault="0081233D" w:rsidP="0081233D">
            <w:pPr>
              <w:jc w:val="center"/>
              <w:rPr>
                <w:rFonts w:ascii="Times New Roman" w:hAnsi="Times New Roman" w:cs="Times New Roman"/>
                <w:sz w:val="10"/>
                <w:szCs w:val="10"/>
              </w:rPr>
            </w:pPr>
          </w:p>
        </w:tc>
        <w:tc>
          <w:tcPr>
            <w:tcW w:w="992"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average harmonic means  the sensitivity and specificity -the average kappa scores</w:t>
            </w:r>
          </w:p>
        </w:tc>
        <w:tc>
          <w:tcPr>
            <w:tcW w:w="567"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Pr>
                <w:rFonts w:ascii="Times New Roman" w:hAnsi="Times New Roman" w:cs="Times New Roman"/>
                <w:sz w:val="10"/>
                <w:szCs w:val="10"/>
              </w:rPr>
              <w:t>Positive</w:t>
            </w:r>
          </w:p>
        </w:tc>
        <w:tc>
          <w:tcPr>
            <w:tcW w:w="1843"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 xml:space="preserve">Photographs were randomly divided into 8 groups, with 65 images for each group.Photographs of no DR, mild non-proliferative DR (NPDR), moderate NPDR, severe NPDR and proliferative DR (PDR) were included in each group. Thirteen participants performed DR reading using the AI reading label system, made DR grading, and labelled the classic lesions of each image. Reading training was performed for 8 rounds with 65 images per round. After each round’s labelling, the participants were gathered to study the diagnosis </w:t>
            </w:r>
            <w:r w:rsidRPr="0081233D">
              <w:rPr>
                <w:rFonts w:ascii="Times New Roman" w:hAnsi="Times New Roman" w:cs="Times New Roman"/>
                <w:sz w:val="10"/>
                <w:szCs w:val="10"/>
              </w:rPr>
              <w:lastRenderedPageBreak/>
              <w:t>gold standard. Each round lasted for 1 week, and the whole process lasted for 8 weeks. The sensitivity and specificity according to the diagnosis glod standard were summarized after each round. Three diagnosis classifications were set as with/without DR, referral/non-referral DR, and severe/non-severe DR. We calculated the sensitivity and specificity and harmonic mean of each classification.The kappa score was calculated.</w:t>
            </w:r>
          </w:p>
        </w:tc>
        <w:tc>
          <w:tcPr>
            <w:tcW w:w="1134"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lastRenderedPageBreak/>
              <w:t>The average kappa score of Group 1 was elevated from 0.71 to 0.76. The average kappa score of Group 2 was elevated from 0.63 to 0.84.</w:t>
            </w:r>
          </w:p>
        </w:tc>
        <w:tc>
          <w:tcPr>
            <w:tcW w:w="1559" w:type="dxa"/>
          </w:tcPr>
          <w:p w:rsidR="0081233D" w:rsidRPr="0081233D" w:rsidRDefault="0081233D" w:rsidP="0081233D">
            <w:pPr>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In conclusion, the use of an artificial intelligence DR reading label system can effectively improve the DR reading level of junior ophthalmologists and can achieve a certain reading accuracy in a short time with hundreds of images, which is a feasible reading training method.</w:t>
            </w:r>
          </w:p>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p>
        </w:tc>
      </w:tr>
      <w:tr w:rsidR="0081233D" w:rsidRPr="0081233D" w:rsidTr="000316A2">
        <w:tc>
          <w:tcPr>
            <w:tcW w:w="56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4</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Bing Li</w:t>
            </w:r>
          </w:p>
        </w:tc>
        <w:tc>
          <w:tcPr>
            <w:tcW w:w="426"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2024</w:t>
            </w:r>
          </w:p>
        </w:tc>
        <w:tc>
          <w:tcPr>
            <w:tcW w:w="141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The performance of a deep learning system in assisting junior ophthalmologists in diagnosing 13 major fundus diseases: a prospective multi-center clinical trial</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China</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five tertiary hospitals in China.</w:t>
            </w:r>
          </w:p>
        </w:tc>
        <w:tc>
          <w:tcPr>
            <w:tcW w:w="1134"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9 junior ophthalmologists</w:t>
            </w:r>
          </w:p>
        </w:tc>
        <w:tc>
          <w:tcPr>
            <w:tcW w:w="708"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Unclear</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randomized controlled trial</w:t>
            </w:r>
          </w:p>
        </w:tc>
        <w:tc>
          <w:tcPr>
            <w:tcW w:w="99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deep learning system in assisting junior ophthalmologists(deep learning)</w:t>
            </w:r>
          </w:p>
        </w:tc>
        <w:tc>
          <w:tcPr>
            <w:tcW w:w="1418"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w:t>
            </w:r>
          </w:p>
          <w:p w:rsidR="0081233D" w:rsidRPr="0081233D" w:rsidRDefault="0081233D" w:rsidP="0081233D">
            <w:pPr>
              <w:jc w:val="center"/>
              <w:rPr>
                <w:rFonts w:ascii="Times New Roman" w:hAnsi="Times New Roman" w:cs="Times New Roman"/>
                <w:sz w:val="10"/>
                <w:szCs w:val="10"/>
              </w:rPr>
            </w:pPr>
          </w:p>
        </w:tc>
        <w:tc>
          <w:tcPr>
            <w:tcW w:w="992"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Cochran‒Mantel‒Haenszel (CMH-χ2)</w:t>
            </w:r>
          </w:p>
        </w:tc>
        <w:tc>
          <w:tcPr>
            <w:tcW w:w="567"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Pr>
                <w:rFonts w:ascii="Times New Roman" w:hAnsi="Times New Roman" w:cs="Times New Roman"/>
                <w:sz w:val="10"/>
                <w:szCs w:val="10"/>
              </w:rPr>
              <w:t>Positive</w:t>
            </w:r>
          </w:p>
        </w:tc>
        <w:tc>
          <w:tcPr>
            <w:tcW w:w="1843"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A total of 1493 fundus images from 748 patients were prospectively collected from five tertiary hospitals in China. Nine junior ophthalmologists were trained and annotated the images with or without the suggestions proposed by the DLS. The diagnostic performance was evaluated among three groups: DLS-assisted junior ophthalmologist group (test group), junior ophthalmologist group (control group) and DLS group</w:t>
            </w:r>
          </w:p>
        </w:tc>
        <w:tc>
          <w:tcPr>
            <w:tcW w:w="1134"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average kappa score of Group 1 was elevated from 0.71 to 0.76. The average kappa score of Group 2 was elevated from 0.63 to 0.84.</w:t>
            </w:r>
          </w:p>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diagnostic consistency was 84.9% (95%CI, 83.0% ~ 86.9%), 72.9% (95%CI, 70.3% ~ 75.6%) and 85.5% (95%CI, 83.5% ~ 87.4%)</w:t>
            </w:r>
          </w:p>
        </w:tc>
        <w:tc>
          <w:tcPr>
            <w:tcW w:w="1559" w:type="dxa"/>
          </w:tcPr>
          <w:p w:rsidR="0081233D" w:rsidRPr="0081233D" w:rsidRDefault="0081233D" w:rsidP="0081233D">
            <w:pPr>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in this prospective clinical trial, we first proved that with the assistance of DLS, junior ophthalmologists achieved significant improvement in the diagnostic consistency and sensitivity for 13 major fundus diseases. The system could also work effectively when applied independently as an automatic screening tool or as an initial filter to reduce manpower burden. The DLS-assisted junior ophthalmologist image reading mode could be considered a feasible method for implementation in clinical practice</w:t>
            </w:r>
          </w:p>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p>
        </w:tc>
      </w:tr>
      <w:tr w:rsidR="0081233D" w:rsidRPr="0081233D" w:rsidTr="000316A2">
        <w:tc>
          <w:tcPr>
            <w:tcW w:w="562" w:type="dxa"/>
          </w:tcPr>
          <w:p w:rsid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5</w:t>
            </w:r>
          </w:p>
          <w:p w:rsidR="00676611" w:rsidRDefault="00676611" w:rsidP="0081233D">
            <w:pPr>
              <w:jc w:val="center"/>
              <w:rPr>
                <w:rFonts w:ascii="Times New Roman" w:hAnsi="Times New Roman" w:cs="Times New Roman"/>
                <w:sz w:val="10"/>
                <w:szCs w:val="10"/>
              </w:rPr>
            </w:pPr>
          </w:p>
          <w:p w:rsidR="00676611" w:rsidRPr="0081233D" w:rsidRDefault="00676611" w:rsidP="0081233D">
            <w:pPr>
              <w:jc w:val="center"/>
              <w:rPr>
                <w:rFonts w:ascii="Times New Roman" w:hAnsi="Times New Roman" w:cs="Times New Roman"/>
                <w:sz w:val="10"/>
                <w:szCs w:val="10"/>
              </w:rPr>
            </w:pP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Yulin Yan</w:t>
            </w:r>
          </w:p>
        </w:tc>
        <w:tc>
          <w:tcPr>
            <w:tcW w:w="426"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2023</w:t>
            </w:r>
          </w:p>
        </w:tc>
        <w:tc>
          <w:tcPr>
            <w:tcW w:w="141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Evaluation of a computer-aided diagnostic model for corneal diseases by analyzing in vivo confocal microscopy images</w:t>
            </w:r>
          </w:p>
        </w:tc>
        <w:tc>
          <w:tcPr>
            <w:tcW w:w="567"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China</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Renmin Hospital of Wuhan University</w:t>
            </w:r>
          </w:p>
        </w:tc>
        <w:tc>
          <w:tcPr>
            <w:tcW w:w="1134"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8  trainees with no professional IVCM training and less than 3 years of experience</w:t>
            </w:r>
          </w:p>
        </w:tc>
        <w:tc>
          <w:tcPr>
            <w:tcW w:w="708"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Unclear</w:t>
            </w:r>
          </w:p>
        </w:tc>
        <w:tc>
          <w:tcPr>
            <w:tcW w:w="851"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randomized controlled trial</w:t>
            </w:r>
          </w:p>
        </w:tc>
        <w:tc>
          <w:tcPr>
            <w:tcW w:w="992"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a computer-aided diagnostic model(deep learning)</w:t>
            </w:r>
          </w:p>
        </w:tc>
        <w:tc>
          <w:tcPr>
            <w:tcW w:w="1418" w:type="dxa"/>
          </w:tcPr>
          <w:p w:rsidR="0081233D" w:rsidRPr="0081233D" w:rsidRDefault="0081233D" w:rsidP="0081233D">
            <w:pPr>
              <w:jc w:val="center"/>
              <w:rPr>
                <w:rFonts w:ascii="Times New Roman" w:hAnsi="Times New Roman" w:cs="Times New Roman"/>
                <w:sz w:val="10"/>
                <w:szCs w:val="10"/>
              </w:rPr>
            </w:pPr>
            <w:r w:rsidRPr="0081233D">
              <w:rPr>
                <w:rFonts w:ascii="Times New Roman" w:hAnsi="Times New Roman" w:cs="Times New Roman"/>
                <w:sz w:val="10"/>
                <w:szCs w:val="10"/>
              </w:rPr>
              <w:t>-</w:t>
            </w:r>
          </w:p>
        </w:tc>
        <w:tc>
          <w:tcPr>
            <w:tcW w:w="992"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A t-test -Mann–Whitney U test</w:t>
            </w:r>
          </w:p>
        </w:tc>
        <w:tc>
          <w:tcPr>
            <w:tcW w:w="567"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Pr>
                <w:rFonts w:ascii="Times New Roman" w:hAnsi="Times New Roman" w:cs="Times New Roman"/>
                <w:sz w:val="10"/>
                <w:szCs w:val="10"/>
              </w:rPr>
              <w:t>Positive</w:t>
            </w:r>
          </w:p>
        </w:tc>
        <w:tc>
          <w:tcPr>
            <w:tcW w:w="1843"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Using the same batch of 580 images, 8 trainees with no professional IVCM training and less than 3 years of experience were randomly divided into groups A (A1, A2, A3, A4) and B (B1, B2, B3, B4). Trainees in group A first diagnosed and recorded the results of 580 images with model assistance (images were first evaluated by computer and lesion areas were marked in the form of heat maps) separately, after a 2-week washout period, they re-evaluated these 580 images without model assistance and recorded the results. Trainees in group B initially diagnosed and recorded the results of 580 images independently without model assistance, after a 2-week washout period, they re-evaluated these 580 images with model assistance. Finally, the accuracy of the two assessments was compared between groups A and B.</w:t>
            </w:r>
          </w:p>
        </w:tc>
        <w:tc>
          <w:tcPr>
            <w:tcW w:w="1134" w:type="dxa"/>
          </w:tcPr>
          <w:p w:rsidR="0081233D" w:rsidRPr="0081233D" w:rsidRDefault="0081233D" w:rsidP="0081233D">
            <w:pPr>
              <w:shd w:val="clear" w:color="auto" w:fill="FFFFFF" w:themeFill="background1"/>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The overall accuracy of 8 trainees with and without the model assistance was 0.888 and 0.715, respectively. Trainees had an accuracy of 0.843 and 0.809 without model assistance and 0.940 and 0.938 with model assistance in layer identification and classification of images as normal and abnormal. Both groups of trainees showed statistically significant differences.</w:t>
            </w:r>
          </w:p>
        </w:tc>
        <w:tc>
          <w:tcPr>
            <w:tcW w:w="1559" w:type="dxa"/>
          </w:tcPr>
          <w:p w:rsidR="0081233D" w:rsidRPr="0081233D" w:rsidRDefault="0081233D" w:rsidP="0081233D">
            <w:pPr>
              <w:spacing w:line="360" w:lineRule="auto"/>
              <w:jc w:val="center"/>
              <w:rPr>
                <w:rFonts w:ascii="Times New Roman" w:hAnsi="Times New Roman" w:cs="Times New Roman"/>
                <w:sz w:val="10"/>
                <w:szCs w:val="10"/>
              </w:rPr>
            </w:pPr>
            <w:r w:rsidRPr="0081233D">
              <w:rPr>
                <w:rFonts w:ascii="Times New Roman" w:hAnsi="Times New Roman" w:cs="Times New Roman"/>
                <w:sz w:val="10"/>
                <w:szCs w:val="10"/>
              </w:rPr>
              <w:t>A computer-aided diagnostic model was developed for IVCM images based on deep learning, which rapidly recognized the layers of corneal images and classified them as normal and abnormal. This model can increase the efficacy of clinical diagnosis and assist physicians in training and learning for clinical purposes.</w:t>
            </w:r>
          </w:p>
          <w:p w:rsidR="0081233D" w:rsidRPr="000E208D" w:rsidRDefault="0081233D" w:rsidP="0081233D">
            <w:pPr>
              <w:shd w:val="clear" w:color="auto" w:fill="FFFFFF" w:themeFill="background1"/>
              <w:spacing w:line="360" w:lineRule="auto"/>
              <w:jc w:val="center"/>
              <w:rPr>
                <w:rFonts w:ascii="Times New Roman" w:hAnsi="Times New Roman" w:cs="Times New Roman"/>
                <w:sz w:val="20"/>
                <w:szCs w:val="20"/>
              </w:rPr>
            </w:pPr>
          </w:p>
        </w:tc>
      </w:tr>
      <w:tr w:rsidR="00676611" w:rsidRPr="0081233D" w:rsidTr="000316A2">
        <w:tc>
          <w:tcPr>
            <w:tcW w:w="562" w:type="dxa"/>
          </w:tcPr>
          <w:p w:rsidR="00676611" w:rsidRPr="0081233D" w:rsidRDefault="00676611" w:rsidP="00676611">
            <w:pPr>
              <w:jc w:val="center"/>
              <w:rPr>
                <w:rFonts w:ascii="Times New Roman" w:hAnsi="Times New Roman" w:cs="Times New Roman"/>
                <w:sz w:val="10"/>
                <w:szCs w:val="10"/>
              </w:rPr>
            </w:pPr>
            <w:r>
              <w:rPr>
                <w:rFonts w:ascii="Times New Roman" w:hAnsi="Times New Roman" w:cs="Times New Roman"/>
                <w:sz w:val="10"/>
                <w:szCs w:val="10"/>
              </w:rPr>
              <w:lastRenderedPageBreak/>
              <w:t>6</w:t>
            </w:r>
          </w:p>
        </w:tc>
        <w:tc>
          <w:tcPr>
            <w:tcW w:w="567" w:type="dxa"/>
          </w:tcPr>
          <w:p w:rsidR="00676611" w:rsidRPr="00676611" w:rsidRDefault="00676611" w:rsidP="00676611">
            <w:pPr>
              <w:jc w:val="center"/>
              <w:rPr>
                <w:rFonts w:ascii="Times New Roman" w:hAnsi="Times New Roman" w:cs="Times New Roman"/>
                <w:sz w:val="10"/>
                <w:szCs w:val="10"/>
              </w:rPr>
            </w:pPr>
            <w:r w:rsidRPr="00676611">
              <w:rPr>
                <w:rFonts w:ascii="Times New Roman" w:hAnsi="Times New Roman" w:cs="Times New Roman"/>
                <w:sz w:val="10"/>
                <w:szCs w:val="10"/>
              </w:rPr>
              <w:t>Zhi Fang</w:t>
            </w:r>
          </w:p>
        </w:tc>
        <w:tc>
          <w:tcPr>
            <w:tcW w:w="426" w:type="dxa"/>
          </w:tcPr>
          <w:p w:rsidR="00676611" w:rsidRPr="0081233D" w:rsidRDefault="00676611" w:rsidP="00676611">
            <w:pPr>
              <w:jc w:val="center"/>
              <w:rPr>
                <w:rFonts w:ascii="Times New Roman" w:hAnsi="Times New Roman" w:cs="Times New Roman"/>
                <w:sz w:val="10"/>
                <w:szCs w:val="10"/>
              </w:rPr>
            </w:pPr>
            <w:r>
              <w:rPr>
                <w:rFonts w:ascii="Times New Roman" w:hAnsi="Times New Roman" w:cs="Times New Roman"/>
                <w:sz w:val="10"/>
                <w:szCs w:val="10"/>
              </w:rPr>
              <w:t>2022</w:t>
            </w:r>
          </w:p>
        </w:tc>
        <w:tc>
          <w:tcPr>
            <w:tcW w:w="1417" w:type="dxa"/>
          </w:tcPr>
          <w:p w:rsidR="00676611" w:rsidRPr="00676611" w:rsidRDefault="00676611" w:rsidP="00676611">
            <w:pPr>
              <w:jc w:val="center"/>
              <w:rPr>
                <w:rFonts w:ascii="Times New Roman" w:hAnsi="Times New Roman" w:cs="Times New Roman"/>
                <w:sz w:val="10"/>
                <w:szCs w:val="10"/>
              </w:rPr>
            </w:pPr>
            <w:r w:rsidRPr="00676611">
              <w:rPr>
                <w:rFonts w:ascii="Times New Roman" w:hAnsi="Times New Roman" w:cs="Times New Roman"/>
                <w:sz w:val="10"/>
                <w:szCs w:val="10"/>
              </w:rPr>
              <w:t>Artificial intelligence-based pathologic myopia identification system in the ophthalmology residency training program</w:t>
            </w:r>
          </w:p>
        </w:tc>
        <w:tc>
          <w:tcPr>
            <w:tcW w:w="567" w:type="dxa"/>
          </w:tcPr>
          <w:p w:rsidR="00676611" w:rsidRPr="0081233D" w:rsidRDefault="00676611" w:rsidP="00676611">
            <w:pPr>
              <w:jc w:val="center"/>
              <w:rPr>
                <w:rFonts w:ascii="Times New Roman" w:hAnsi="Times New Roman" w:cs="Times New Roman"/>
                <w:sz w:val="10"/>
                <w:szCs w:val="10"/>
              </w:rPr>
            </w:pPr>
            <w:r>
              <w:rPr>
                <w:rFonts w:ascii="Times New Roman" w:hAnsi="Times New Roman" w:cs="Times New Roman"/>
                <w:sz w:val="10"/>
                <w:szCs w:val="10"/>
              </w:rPr>
              <w:t>china</w:t>
            </w:r>
          </w:p>
        </w:tc>
        <w:tc>
          <w:tcPr>
            <w:tcW w:w="851" w:type="dxa"/>
          </w:tcPr>
          <w:p w:rsidR="00676611" w:rsidRPr="00676611" w:rsidRDefault="00676611" w:rsidP="00676611">
            <w:pPr>
              <w:jc w:val="center"/>
              <w:rPr>
                <w:rFonts w:ascii="Times New Roman" w:hAnsi="Times New Roman" w:cs="Times New Roman"/>
                <w:sz w:val="10"/>
                <w:szCs w:val="10"/>
              </w:rPr>
            </w:pPr>
            <w:r w:rsidRPr="00676611">
              <w:rPr>
                <w:rFonts w:ascii="Times New Roman" w:hAnsi="Times New Roman" w:cs="Times New Roman"/>
                <w:sz w:val="10"/>
                <w:szCs w:val="10"/>
              </w:rPr>
              <w:t>Hospital of Zhejiang University</w:t>
            </w:r>
          </w:p>
        </w:tc>
        <w:tc>
          <w:tcPr>
            <w:tcW w:w="1134" w:type="dxa"/>
          </w:tcPr>
          <w:p w:rsidR="00676611" w:rsidRPr="00676611" w:rsidRDefault="00676611" w:rsidP="00676611">
            <w:pPr>
              <w:jc w:val="center"/>
              <w:rPr>
                <w:rFonts w:ascii="Times New Roman" w:hAnsi="Times New Roman" w:cs="Times New Roman"/>
                <w:sz w:val="10"/>
                <w:szCs w:val="10"/>
              </w:rPr>
            </w:pPr>
            <w:r w:rsidRPr="00676611">
              <w:rPr>
                <w:rFonts w:ascii="Times New Roman" w:hAnsi="Times New Roman" w:cs="Times New Roman"/>
                <w:sz w:val="10"/>
                <w:szCs w:val="10"/>
              </w:rPr>
              <w:t>90 residents in the ophthalmology</w:t>
            </w:r>
          </w:p>
        </w:tc>
        <w:tc>
          <w:tcPr>
            <w:tcW w:w="708" w:type="dxa"/>
          </w:tcPr>
          <w:p w:rsidR="00676611" w:rsidRPr="0081233D" w:rsidRDefault="00676611" w:rsidP="00676611">
            <w:pPr>
              <w:jc w:val="center"/>
              <w:rPr>
                <w:rFonts w:ascii="Times New Roman" w:hAnsi="Times New Roman" w:cs="Times New Roman"/>
                <w:sz w:val="10"/>
                <w:szCs w:val="10"/>
              </w:rPr>
            </w:pPr>
            <w:r>
              <w:rPr>
                <w:rFonts w:ascii="Times New Roman" w:hAnsi="Times New Roman" w:cs="Times New Roman"/>
                <w:sz w:val="10"/>
                <w:szCs w:val="10"/>
              </w:rPr>
              <w:t>unclear</w:t>
            </w:r>
          </w:p>
        </w:tc>
        <w:tc>
          <w:tcPr>
            <w:tcW w:w="851" w:type="dxa"/>
          </w:tcPr>
          <w:p w:rsidR="00676611" w:rsidRPr="00676611" w:rsidRDefault="00676611" w:rsidP="00676611">
            <w:pPr>
              <w:jc w:val="center"/>
              <w:rPr>
                <w:rFonts w:ascii="Times New Roman" w:hAnsi="Times New Roman" w:cs="Times New Roman"/>
                <w:sz w:val="10"/>
                <w:szCs w:val="10"/>
              </w:rPr>
            </w:pPr>
            <w:r w:rsidRPr="00676611">
              <w:rPr>
                <w:rFonts w:ascii="Times New Roman" w:hAnsi="Times New Roman" w:cs="Times New Roman"/>
                <w:sz w:val="10"/>
                <w:szCs w:val="10"/>
              </w:rPr>
              <w:t>randomized controlled trial</w:t>
            </w:r>
          </w:p>
        </w:tc>
        <w:tc>
          <w:tcPr>
            <w:tcW w:w="992" w:type="dxa"/>
          </w:tcPr>
          <w:p w:rsidR="00676611" w:rsidRPr="00676611" w:rsidRDefault="00676611" w:rsidP="00676611">
            <w:pPr>
              <w:jc w:val="center"/>
              <w:rPr>
                <w:rFonts w:ascii="Times New Roman" w:hAnsi="Times New Roman" w:cs="Times New Roman"/>
                <w:sz w:val="10"/>
                <w:szCs w:val="10"/>
              </w:rPr>
            </w:pPr>
            <w:r w:rsidRPr="00676611">
              <w:rPr>
                <w:rFonts w:ascii="Times New Roman" w:hAnsi="Times New Roman" w:cs="Times New Roman"/>
                <w:sz w:val="10"/>
                <w:szCs w:val="10"/>
              </w:rPr>
              <w:t>Artificial intelligence-based pathologic myopia identification system</w:t>
            </w:r>
          </w:p>
        </w:tc>
        <w:tc>
          <w:tcPr>
            <w:tcW w:w="1418" w:type="dxa"/>
          </w:tcPr>
          <w:p w:rsidR="00676611" w:rsidRPr="00676611" w:rsidRDefault="00676611" w:rsidP="00676611">
            <w:pPr>
              <w:shd w:val="clear" w:color="auto" w:fill="FFFFFF" w:themeFill="background1"/>
              <w:spacing w:line="360" w:lineRule="auto"/>
              <w:jc w:val="center"/>
              <w:rPr>
                <w:rFonts w:ascii="Times New Roman" w:hAnsi="Times New Roman" w:cs="Times New Roman"/>
                <w:sz w:val="10"/>
                <w:szCs w:val="10"/>
              </w:rPr>
            </w:pPr>
            <w:r w:rsidRPr="00676611">
              <w:rPr>
                <w:rFonts w:ascii="Times New Roman" w:hAnsi="Times New Roman" w:cs="Times New Roman"/>
                <w:sz w:val="10"/>
                <w:szCs w:val="10"/>
              </w:rPr>
              <w:t>17 item questionerie - pre-and post-lecture test</w:t>
            </w:r>
          </w:p>
          <w:p w:rsidR="00676611" w:rsidRPr="0081233D" w:rsidRDefault="00676611" w:rsidP="00676611">
            <w:pPr>
              <w:jc w:val="center"/>
              <w:rPr>
                <w:rFonts w:ascii="Times New Roman" w:hAnsi="Times New Roman" w:cs="Times New Roman"/>
                <w:sz w:val="10"/>
                <w:szCs w:val="10"/>
              </w:rPr>
            </w:pPr>
          </w:p>
        </w:tc>
        <w:tc>
          <w:tcPr>
            <w:tcW w:w="992" w:type="dxa"/>
          </w:tcPr>
          <w:p w:rsidR="00676611" w:rsidRPr="00676611" w:rsidRDefault="00676611" w:rsidP="00676611">
            <w:pPr>
              <w:shd w:val="clear" w:color="auto" w:fill="FFFFFF" w:themeFill="background1"/>
              <w:spacing w:line="360" w:lineRule="auto"/>
              <w:jc w:val="center"/>
              <w:rPr>
                <w:rFonts w:ascii="Times New Roman" w:hAnsi="Times New Roman" w:cs="Times New Roman"/>
                <w:sz w:val="10"/>
                <w:szCs w:val="10"/>
              </w:rPr>
            </w:pPr>
            <w:r w:rsidRPr="00676611">
              <w:rPr>
                <w:rFonts w:ascii="Times New Roman" w:hAnsi="Times New Roman" w:cs="Times New Roman"/>
                <w:sz w:val="10"/>
                <w:szCs w:val="10"/>
              </w:rPr>
              <w:t>one-way ANOVA - paired t-test - independant t-test</w:t>
            </w:r>
          </w:p>
        </w:tc>
        <w:tc>
          <w:tcPr>
            <w:tcW w:w="567" w:type="dxa"/>
          </w:tcPr>
          <w:p w:rsidR="00676611" w:rsidRDefault="00676611" w:rsidP="00676611">
            <w:pPr>
              <w:shd w:val="clear" w:color="auto" w:fill="FFFFFF" w:themeFill="background1"/>
              <w:spacing w:line="360" w:lineRule="auto"/>
              <w:jc w:val="center"/>
              <w:rPr>
                <w:rFonts w:ascii="Times New Roman" w:hAnsi="Times New Roman" w:cs="Times New Roman"/>
                <w:sz w:val="10"/>
                <w:szCs w:val="10"/>
              </w:rPr>
            </w:pPr>
            <w:r>
              <w:rPr>
                <w:rFonts w:ascii="Times New Roman" w:hAnsi="Times New Roman" w:cs="Times New Roman"/>
                <w:sz w:val="10"/>
                <w:szCs w:val="10"/>
              </w:rPr>
              <w:t>positive</w:t>
            </w:r>
          </w:p>
        </w:tc>
        <w:tc>
          <w:tcPr>
            <w:tcW w:w="1843" w:type="dxa"/>
          </w:tcPr>
          <w:p w:rsidR="00676611" w:rsidRPr="00676611" w:rsidRDefault="00676611" w:rsidP="00676611">
            <w:pPr>
              <w:shd w:val="clear" w:color="auto" w:fill="FFFFFF" w:themeFill="background1"/>
              <w:spacing w:after="160" w:line="360" w:lineRule="auto"/>
              <w:jc w:val="center"/>
              <w:rPr>
                <w:rFonts w:ascii="Times New Roman" w:hAnsi="Times New Roman" w:cs="Times New Roman"/>
                <w:sz w:val="10"/>
                <w:szCs w:val="10"/>
              </w:rPr>
            </w:pPr>
            <w:r w:rsidRPr="00676611">
              <w:rPr>
                <w:rFonts w:ascii="Times New Roman" w:hAnsi="Times New Roman" w:cs="Times New Roman"/>
                <w:sz w:val="10"/>
                <w:szCs w:val="10"/>
              </w:rPr>
              <w:t>Using the same batch of 580 images, 8 trainees with no professional IVCM training and less than 3 years of experience were randomly divided into groups A (A1, A2, A3, A4) and B (B1, B2, B3, B4). Trainees in group A first diagnosed and recorded the results of 580 images with model assistance (images were first evaluated by computer and lesion areas were marked in the form of heat maps) separately, after a 2-week washout period, they re-evaluated these 580 images without model assistance and recorded the results. Trainees in group B initially diagnosed and recorded the results of 580 images independently without model assistance, after a 2-week washout period, they re-evaluated these 580 images with model assistance. Finally, the accuracy of the two assessments was compared between groups A and B.</w:t>
            </w:r>
          </w:p>
          <w:p w:rsidR="00676611" w:rsidRPr="00676611" w:rsidRDefault="00676611" w:rsidP="00676611">
            <w:pPr>
              <w:shd w:val="clear" w:color="auto" w:fill="FFFFFF" w:themeFill="background1"/>
              <w:spacing w:line="360" w:lineRule="auto"/>
              <w:jc w:val="center"/>
              <w:rPr>
                <w:rFonts w:ascii="Times New Roman" w:hAnsi="Times New Roman" w:cs="Times New Roman"/>
                <w:sz w:val="10"/>
                <w:szCs w:val="10"/>
              </w:rPr>
            </w:pPr>
            <w:r w:rsidRPr="00676611">
              <w:rPr>
                <w:rFonts w:ascii="Times New Roman" w:hAnsi="Times New Roman" w:cs="Times New Roman"/>
                <w:sz w:val="10"/>
                <w:szCs w:val="10"/>
              </w:rPr>
              <w:t>Ninety residents in the ophthalmology department at the Second Affiliated Hospital of Zhejiang University were randomly assigned to three groups. In group A, residents learned PM through an AI-based PM identification system. In group B and group C, residents learned PM through a traditional lecture given by two senior specialists independently. The improvement in resident performance was evaluated by comparing the pre-and post-lecture scores of a specifically designed test using a paired t-test. The difference among the three groups was evaluated by one-way ANOVA. Residents’ evaluations of the AI-based PM identification system were measured by a 17-item questionnaire.</w:t>
            </w:r>
          </w:p>
        </w:tc>
        <w:tc>
          <w:tcPr>
            <w:tcW w:w="1134" w:type="dxa"/>
          </w:tcPr>
          <w:p w:rsidR="00676611" w:rsidRPr="00676611" w:rsidRDefault="00676611" w:rsidP="00676611">
            <w:pPr>
              <w:shd w:val="clear" w:color="auto" w:fill="FFFFFF" w:themeFill="background1"/>
              <w:spacing w:line="360" w:lineRule="auto"/>
              <w:jc w:val="center"/>
              <w:rPr>
                <w:rFonts w:ascii="Times New Roman" w:hAnsi="Times New Roman" w:cs="Times New Roman"/>
                <w:sz w:val="10"/>
                <w:szCs w:val="10"/>
              </w:rPr>
            </w:pPr>
            <w:r w:rsidRPr="00676611">
              <w:rPr>
                <w:rFonts w:ascii="Times New Roman" w:hAnsi="Times New Roman" w:cs="Times New Roman"/>
                <w:sz w:val="10"/>
                <w:szCs w:val="10"/>
              </w:rPr>
              <w:t xml:space="preserve">One-way ANOVA showed significant difference of post-lecture scoresboth in junior (p &lt; 0.0001 for total, p = 0.033 for part , p &lt; 0.0001 for part </w:t>
            </w:r>
            <w:r w:rsidRPr="00676611">
              <w:rPr>
                <w:rFonts w:ascii="Times New Roman" w:eastAsia="MS Gothic" w:hAnsi="Times New Roman" w:cs="Times New Roman"/>
                <w:sz w:val="10"/>
                <w:szCs w:val="10"/>
              </w:rPr>
              <w:t>Ⅱ</w:t>
            </w:r>
            <w:r w:rsidRPr="00676611">
              <w:rPr>
                <w:rFonts w:ascii="Times New Roman" w:hAnsi="Times New Roman" w:cs="Times New Roman"/>
                <w:sz w:val="10"/>
                <w:szCs w:val="10"/>
              </w:rPr>
              <w:t xml:space="preserve">, and p &lt; 0.0001 for part </w:t>
            </w:r>
            <w:r w:rsidRPr="00676611">
              <w:rPr>
                <w:rFonts w:ascii="Times New Roman" w:eastAsia="MS Gothic" w:hAnsi="Times New Roman" w:cs="Times New Roman"/>
                <w:sz w:val="10"/>
                <w:szCs w:val="10"/>
              </w:rPr>
              <w:t>Ⅲ</w:t>
            </w:r>
            <w:r w:rsidRPr="00676611">
              <w:rPr>
                <w:rFonts w:ascii="Times New Roman" w:hAnsi="Times New Roman" w:cs="Times New Roman"/>
                <w:sz w:val="10"/>
                <w:szCs w:val="10"/>
              </w:rPr>
              <w:t xml:space="preserve">) and senior residents (p &lt; 0.0001for total, p &lt; 0.0001 for part </w:t>
            </w:r>
            <w:r w:rsidRPr="00676611">
              <w:rPr>
                <w:rFonts w:ascii="Times New Roman" w:eastAsia="MS Gothic" w:hAnsi="Times New Roman" w:cs="Times New Roman"/>
                <w:sz w:val="10"/>
                <w:szCs w:val="10"/>
              </w:rPr>
              <w:t>Ⅱ</w:t>
            </w:r>
            <w:r w:rsidRPr="00676611">
              <w:rPr>
                <w:rFonts w:ascii="Times New Roman" w:hAnsi="Times New Roman" w:cs="Times New Roman"/>
                <w:sz w:val="10"/>
                <w:szCs w:val="10"/>
              </w:rPr>
              <w:t xml:space="preserve">, and p = 0.017 for part </w:t>
            </w:r>
            <w:r w:rsidRPr="00676611">
              <w:rPr>
                <w:rFonts w:ascii="Times New Roman" w:eastAsia="MS Gothic" w:hAnsi="Times New Roman" w:cs="Times New Roman"/>
                <w:sz w:val="10"/>
                <w:szCs w:val="10"/>
              </w:rPr>
              <w:t>Ⅲ</w:t>
            </w:r>
            <w:r w:rsidRPr="00676611">
              <w:rPr>
                <w:rFonts w:ascii="Times New Roman" w:hAnsi="Times New Roman" w:cs="Times New Roman"/>
                <w:sz w:val="10"/>
                <w:szCs w:val="10"/>
              </w:rPr>
              <w:t>) between three groups.Subgroup analysis showed that both junior and senior residents in group A achieved significantly higher post-lecture scores than those in group B (Table 6, p &lt; 0.01).</w:t>
            </w:r>
          </w:p>
        </w:tc>
        <w:tc>
          <w:tcPr>
            <w:tcW w:w="1559" w:type="dxa"/>
          </w:tcPr>
          <w:p w:rsidR="00676611" w:rsidRPr="00676611" w:rsidRDefault="00676611" w:rsidP="00676611">
            <w:pPr>
              <w:spacing w:line="360" w:lineRule="auto"/>
              <w:jc w:val="center"/>
              <w:rPr>
                <w:rFonts w:ascii="Times New Roman" w:hAnsi="Times New Roman" w:cs="Times New Roman"/>
                <w:sz w:val="10"/>
                <w:szCs w:val="10"/>
              </w:rPr>
            </w:pPr>
            <w:r w:rsidRPr="00676611">
              <w:rPr>
                <w:rFonts w:ascii="Times New Roman" w:hAnsi="Times New Roman" w:cs="Times New Roman"/>
                <w:sz w:val="10"/>
                <w:szCs w:val="10"/>
              </w:rPr>
              <w:t>It is still difficult for ophthalmic residents to promptly grasp the knowledge of identification of PM through a single traditional lecture, while the AI-based PM identification system effectively improved residents’ performance in PM identification and received satisfactory feedback from residents. The application of the AI-based PM identification system showed advantages in promoting the efficiency of the ophthalmology residency training program.</w:t>
            </w:r>
          </w:p>
        </w:tc>
      </w:tr>
    </w:tbl>
    <w:p w:rsidR="000E208D" w:rsidRPr="000E208D" w:rsidRDefault="000E208D">
      <w:pPr>
        <w:rPr>
          <w:rFonts w:ascii="Times New Roman" w:hAnsi="Times New Roman" w:cs="Times New Roman"/>
          <w:sz w:val="20"/>
          <w:szCs w:val="20"/>
        </w:rPr>
      </w:pPr>
    </w:p>
    <w:sectPr w:rsidR="000E208D" w:rsidRPr="000E208D" w:rsidSect="00A81C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332" w:rsidRDefault="00EE1332" w:rsidP="000B6C15">
      <w:pPr>
        <w:spacing w:after="0" w:line="240" w:lineRule="auto"/>
      </w:pPr>
      <w:r>
        <w:separator/>
      </w:r>
    </w:p>
  </w:endnote>
  <w:endnote w:type="continuationSeparator" w:id="0">
    <w:p w:rsidR="00EE1332" w:rsidRDefault="00EE1332" w:rsidP="000B6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332" w:rsidRDefault="00EE1332" w:rsidP="000B6C15">
      <w:pPr>
        <w:spacing w:after="0" w:line="240" w:lineRule="auto"/>
      </w:pPr>
      <w:r>
        <w:separator/>
      </w:r>
    </w:p>
  </w:footnote>
  <w:footnote w:type="continuationSeparator" w:id="0">
    <w:p w:rsidR="00EE1332" w:rsidRDefault="00EE1332" w:rsidP="000B6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08D"/>
    <w:rsid w:val="000316A2"/>
    <w:rsid w:val="000B6C15"/>
    <w:rsid w:val="000E208D"/>
    <w:rsid w:val="000F028E"/>
    <w:rsid w:val="001A59F7"/>
    <w:rsid w:val="00464D8B"/>
    <w:rsid w:val="0051045A"/>
    <w:rsid w:val="00587EB9"/>
    <w:rsid w:val="00643C60"/>
    <w:rsid w:val="00676251"/>
    <w:rsid w:val="00676611"/>
    <w:rsid w:val="00680202"/>
    <w:rsid w:val="00782E98"/>
    <w:rsid w:val="0081233D"/>
    <w:rsid w:val="00973570"/>
    <w:rsid w:val="00A81CDD"/>
    <w:rsid w:val="00EE1332"/>
    <w:rsid w:val="00EE70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690BC-4A51-4964-A837-5CED8FE8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208D"/>
    <w:pPr>
      <w:spacing w:before="100" w:beforeAutospacing="1" w:after="100" w:afterAutospacing="1" w:line="240" w:lineRule="auto"/>
      <w:outlineLvl w:val="1"/>
    </w:pPr>
    <w:rPr>
      <w:rFonts w:ascii="Times New Roman" w:eastAsia="Times New Roman" w:hAnsi="Times New Roman" w:cs="B Nazanin"/>
      <w:b/>
      <w:bCs/>
      <w:kern w:val="0"/>
      <w:sz w:val="36"/>
      <w:szCs w:val="28"/>
      <w:lang w:bidi="fa-I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2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E208D"/>
    <w:rPr>
      <w:rFonts w:ascii="Times New Roman" w:eastAsia="Times New Roman" w:hAnsi="Times New Roman" w:cs="B Nazanin"/>
      <w:b/>
      <w:bCs/>
      <w:kern w:val="0"/>
      <w:sz w:val="36"/>
      <w:szCs w:val="28"/>
      <w:lang w:bidi="fa-IR"/>
      <w14:ligatures w14:val="none"/>
    </w:rPr>
  </w:style>
  <w:style w:type="paragraph" w:styleId="Header">
    <w:name w:val="header"/>
    <w:basedOn w:val="Normal"/>
    <w:link w:val="HeaderChar"/>
    <w:uiPriority w:val="99"/>
    <w:unhideWhenUsed/>
    <w:rsid w:val="000B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15"/>
  </w:style>
  <w:style w:type="paragraph" w:styleId="Footer">
    <w:name w:val="footer"/>
    <w:basedOn w:val="Normal"/>
    <w:link w:val="FooterChar"/>
    <w:uiPriority w:val="99"/>
    <w:unhideWhenUsed/>
    <w:rsid w:val="000B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alirezaamsams@gmail.com</dc:creator>
  <cp:keywords/>
  <dc:description/>
  <cp:lastModifiedBy>MRT www.Win2Farsi.com</cp:lastModifiedBy>
  <cp:revision>10</cp:revision>
  <dcterms:created xsi:type="dcterms:W3CDTF">2024-08-27T08:31:00Z</dcterms:created>
  <dcterms:modified xsi:type="dcterms:W3CDTF">2024-08-28T08:59:00Z</dcterms:modified>
</cp:coreProperties>
</file>