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153F" w14:textId="163C3190" w:rsidR="00C90577" w:rsidRPr="0058418C" w:rsidRDefault="00C90577" w:rsidP="00C90577">
      <w:pPr>
        <w:spacing w:after="0" w:line="240" w:lineRule="auto"/>
        <w:jc w:val="center"/>
        <w:rPr>
          <w:rFonts w:ascii="Dubai" w:hAnsi="Dubai" w:cs="Dubai"/>
          <w:b/>
          <w:bCs/>
          <w:sz w:val="24"/>
          <w:szCs w:val="24"/>
        </w:rPr>
      </w:pPr>
      <w:bookmarkStart w:id="0" w:name="_GoBack"/>
      <w:bookmarkEnd w:id="0"/>
      <w:r w:rsidRPr="0058418C">
        <w:rPr>
          <w:rFonts w:ascii="Dubai" w:hAnsi="Dubai" w:cs="Dubai"/>
          <w:b/>
          <w:bCs/>
          <w:sz w:val="24"/>
          <w:szCs w:val="24"/>
        </w:rPr>
        <w:t>Proceedings Abstract</w:t>
      </w:r>
      <w:r w:rsidR="00790C61">
        <w:rPr>
          <w:rFonts w:ascii="Dubai" w:hAnsi="Dubai" w:cs="Dubai"/>
          <w:b/>
          <w:bCs/>
          <w:sz w:val="24"/>
          <w:szCs w:val="24"/>
        </w:rPr>
        <w:t xml:space="preserve">s </w:t>
      </w:r>
    </w:p>
    <w:p w14:paraId="7070653A" w14:textId="77777777" w:rsidR="00C90577" w:rsidRPr="00C90577" w:rsidRDefault="00C90577" w:rsidP="007B58B9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405F30FD" w14:textId="6A26BE51" w:rsidR="007E75DA" w:rsidRPr="009F6CFA" w:rsidRDefault="00814831" w:rsidP="007B58B9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b/>
          <w:bCs/>
          <w:sz w:val="24"/>
          <w:szCs w:val="24"/>
        </w:rPr>
        <w:t xml:space="preserve">Paper </w:t>
      </w:r>
      <w:r w:rsidR="00F22AA2" w:rsidRPr="009F6CFA">
        <w:rPr>
          <w:rFonts w:ascii="Dubai" w:hAnsi="Dubai" w:cs="Dubai"/>
          <w:b/>
          <w:bCs/>
          <w:sz w:val="24"/>
          <w:szCs w:val="24"/>
        </w:rPr>
        <w:t>Title</w:t>
      </w:r>
      <w:r w:rsidR="009F6CFA" w:rsidRPr="009F6CFA">
        <w:rPr>
          <w:rFonts w:ascii="Dubai" w:hAnsi="Dubai" w:cs="Dubai"/>
          <w:sz w:val="24"/>
          <w:szCs w:val="24"/>
        </w:rPr>
        <w:t xml:space="preserve">: </w:t>
      </w:r>
    </w:p>
    <w:p w14:paraId="1EE7334D" w14:textId="7A6A1E47" w:rsidR="008E35EB" w:rsidRPr="009F6CFA" w:rsidRDefault="008E35EB" w:rsidP="007B58B9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>First Name(s) Surname</w:t>
      </w:r>
      <w:r w:rsidR="00C90577">
        <w:rPr>
          <w:rFonts w:ascii="Dubai" w:hAnsi="Dubai" w:cs="Dubai"/>
          <w:sz w:val="24"/>
          <w:szCs w:val="24"/>
        </w:rPr>
        <w:t xml:space="preserve"> </w:t>
      </w:r>
      <w:r w:rsidR="009F6CFA" w:rsidRPr="009F6CFA">
        <w:rPr>
          <w:rFonts w:ascii="Dubai" w:hAnsi="Dubai" w:cs="Dubai"/>
          <w:sz w:val="24"/>
          <w:szCs w:val="24"/>
          <w:vertAlign w:val="superscript"/>
        </w:rPr>
        <w:t>a</w:t>
      </w:r>
      <w:r w:rsidRPr="009F6CFA">
        <w:rPr>
          <w:rFonts w:ascii="Dubai" w:hAnsi="Dubai" w:cs="Dubai"/>
          <w:sz w:val="24"/>
          <w:szCs w:val="24"/>
        </w:rPr>
        <w:t>, First Name(s) Surname</w:t>
      </w:r>
      <w:r w:rsidR="00C90577">
        <w:rPr>
          <w:rFonts w:ascii="Dubai" w:hAnsi="Dubai" w:cs="Dubai"/>
          <w:sz w:val="24"/>
          <w:szCs w:val="24"/>
        </w:rPr>
        <w:t xml:space="preserve"> </w:t>
      </w:r>
      <w:r w:rsidR="00966087">
        <w:rPr>
          <w:rFonts w:ascii="Dubai" w:hAnsi="Dubai" w:cs="Dubai"/>
          <w:sz w:val="24"/>
          <w:szCs w:val="24"/>
          <w:vertAlign w:val="superscript"/>
        </w:rPr>
        <w:t>b</w:t>
      </w:r>
    </w:p>
    <w:p w14:paraId="26A7DF33" w14:textId="77777777" w:rsidR="008E35EB" w:rsidRPr="009F6CFA" w:rsidRDefault="008E35EB" w:rsidP="007B58B9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112A7348" w14:textId="3EA1102E" w:rsidR="008E35EB" w:rsidRPr="009F6CFA" w:rsidRDefault="009F6CFA" w:rsidP="007B58B9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  <w:vertAlign w:val="superscript"/>
        </w:rPr>
        <w:t>a</w:t>
      </w:r>
      <w:r w:rsidR="008E35EB" w:rsidRPr="009F6CFA">
        <w:rPr>
          <w:rFonts w:ascii="Dubai" w:hAnsi="Dubai" w:cs="Dubai"/>
          <w:sz w:val="24"/>
          <w:szCs w:val="24"/>
        </w:rPr>
        <w:t xml:space="preserve"> Department, Institute</w:t>
      </w:r>
      <w:r w:rsidR="00966087">
        <w:rPr>
          <w:rFonts w:ascii="Dubai" w:hAnsi="Dubai" w:cs="Dubai"/>
          <w:sz w:val="24"/>
          <w:szCs w:val="24"/>
        </w:rPr>
        <w:t>1</w:t>
      </w:r>
      <w:r w:rsidR="008E35EB" w:rsidRPr="009F6CFA">
        <w:rPr>
          <w:rFonts w:ascii="Dubai" w:hAnsi="Dubai" w:cs="Dubai"/>
          <w:sz w:val="24"/>
          <w:szCs w:val="24"/>
        </w:rPr>
        <w:t>/University/Hospital, City, (State,) Country</w:t>
      </w:r>
    </w:p>
    <w:p w14:paraId="24955D23" w14:textId="026D8557" w:rsidR="008E35EB" w:rsidRPr="009F6CFA" w:rsidRDefault="009F6CFA" w:rsidP="007B58B9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  <w:vertAlign w:val="superscript"/>
        </w:rPr>
        <w:t>b</w:t>
      </w:r>
      <w:r w:rsidR="008E35EB" w:rsidRPr="009F6CFA">
        <w:rPr>
          <w:rFonts w:ascii="Dubai" w:hAnsi="Dubai" w:cs="Dubai"/>
          <w:sz w:val="24"/>
          <w:szCs w:val="24"/>
        </w:rPr>
        <w:t xml:space="preserve"> Department, Institute</w:t>
      </w:r>
      <w:r w:rsidR="00966087">
        <w:rPr>
          <w:rFonts w:ascii="Dubai" w:hAnsi="Dubai" w:cs="Dubai"/>
          <w:sz w:val="24"/>
          <w:szCs w:val="24"/>
        </w:rPr>
        <w:t>2</w:t>
      </w:r>
      <w:r w:rsidR="008E35EB" w:rsidRPr="009F6CFA">
        <w:rPr>
          <w:rFonts w:ascii="Dubai" w:hAnsi="Dubai" w:cs="Dubai"/>
          <w:sz w:val="24"/>
          <w:szCs w:val="24"/>
        </w:rPr>
        <w:t>/University/Hospital, City, (State,) Country</w:t>
      </w:r>
    </w:p>
    <w:p w14:paraId="1122C23D" w14:textId="77777777" w:rsidR="008E35EB" w:rsidRPr="009F6CFA" w:rsidRDefault="008E35EB" w:rsidP="008E35EB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7AED8015" w14:textId="0D088B55" w:rsidR="009F6CFA" w:rsidRDefault="009F6CFA" w:rsidP="009F6CFA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b/>
          <w:bCs/>
          <w:sz w:val="24"/>
          <w:szCs w:val="24"/>
        </w:rPr>
        <w:t>Keywords</w:t>
      </w:r>
      <w:r w:rsidRPr="009F6CFA">
        <w:rPr>
          <w:rFonts w:ascii="Dubai" w:hAnsi="Dubai" w:cs="Dubai"/>
          <w:sz w:val="24"/>
          <w:szCs w:val="24"/>
        </w:rPr>
        <w:t xml:space="preserve">: </w:t>
      </w:r>
      <w:r w:rsidR="00966087">
        <w:rPr>
          <w:rFonts w:ascii="Dubai" w:hAnsi="Dubai" w:cs="Dubai"/>
          <w:sz w:val="24"/>
          <w:szCs w:val="24"/>
        </w:rPr>
        <w:t xml:space="preserve">add 3-5 keywords. </w:t>
      </w:r>
    </w:p>
    <w:p w14:paraId="4A8FE31C" w14:textId="77777777" w:rsidR="00C90577" w:rsidRPr="009F6CFA" w:rsidRDefault="00C90577" w:rsidP="009F6CFA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52525674" w14:textId="0C3F6B28" w:rsidR="009F6CFA" w:rsidRDefault="009F6CFA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b/>
          <w:bCs/>
          <w:sz w:val="24"/>
          <w:szCs w:val="24"/>
        </w:rPr>
        <w:t>Abstract</w:t>
      </w:r>
      <w:r>
        <w:rPr>
          <w:rFonts w:ascii="Dubai" w:hAnsi="Dubai" w:cs="Dubai"/>
          <w:sz w:val="24"/>
          <w:szCs w:val="24"/>
        </w:rPr>
        <w:t>:</w:t>
      </w:r>
      <w:r w:rsidR="00C90577">
        <w:rPr>
          <w:rFonts w:ascii="Dubai" w:hAnsi="Dubai" w:cs="Dubai"/>
          <w:sz w:val="24"/>
          <w:szCs w:val="24"/>
        </w:rPr>
        <w:t xml:space="preserve"> </w:t>
      </w:r>
      <w:r w:rsidR="00966087">
        <w:rPr>
          <w:rFonts w:ascii="Dubai" w:hAnsi="Dubai" w:cs="Dubai"/>
          <w:sz w:val="24"/>
          <w:szCs w:val="24"/>
        </w:rPr>
        <w:t xml:space="preserve"> </w:t>
      </w:r>
    </w:p>
    <w:p w14:paraId="19819EB2" w14:textId="5C1E2520" w:rsidR="00814831" w:rsidRPr="009F6CFA" w:rsidRDefault="00814831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 xml:space="preserve">Introduction: </w:t>
      </w:r>
    </w:p>
    <w:p w14:paraId="1CB1CD43" w14:textId="77777777" w:rsidR="00814831" w:rsidRPr="009F6CFA" w:rsidRDefault="00814831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 xml:space="preserve">Methods: </w:t>
      </w:r>
    </w:p>
    <w:p w14:paraId="6C1C3876" w14:textId="77777777" w:rsidR="00814831" w:rsidRPr="009F6CFA" w:rsidRDefault="00814831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 xml:space="preserve">Results: </w:t>
      </w:r>
    </w:p>
    <w:p w14:paraId="11AEFEC1" w14:textId="77777777" w:rsidR="00814831" w:rsidRPr="009F6CFA" w:rsidRDefault="00814831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 xml:space="preserve">Discussion: </w:t>
      </w:r>
    </w:p>
    <w:p w14:paraId="016FFD92" w14:textId="1C9FE697" w:rsidR="00814831" w:rsidRDefault="00814831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>Conclusion:</w:t>
      </w:r>
      <w:r w:rsidR="00F34AB6" w:rsidRPr="009F6CFA">
        <w:rPr>
          <w:rFonts w:ascii="Dubai" w:hAnsi="Dubai" w:cs="Dubai"/>
          <w:sz w:val="24"/>
          <w:szCs w:val="24"/>
        </w:rPr>
        <w:t xml:space="preserve"> </w:t>
      </w:r>
    </w:p>
    <w:p w14:paraId="3D5DEAE0" w14:textId="79749F65" w:rsidR="00966087" w:rsidRPr="009F6CFA" w:rsidRDefault="00966087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>
        <w:rPr>
          <w:rFonts w:ascii="Dubai" w:hAnsi="Dubai" w:cs="Dubai"/>
          <w:b/>
          <w:bCs/>
          <w:sz w:val="24"/>
          <w:szCs w:val="24"/>
        </w:rPr>
        <w:t xml:space="preserve">Tables or figures: </w:t>
      </w:r>
      <w:r>
        <w:rPr>
          <w:rFonts w:ascii="Dubai" w:hAnsi="Dubai" w:cs="Dubai"/>
          <w:sz w:val="24"/>
          <w:szCs w:val="24"/>
        </w:rPr>
        <w:t>(Optional</w:t>
      </w:r>
      <w:r w:rsidR="0058418C">
        <w:rPr>
          <w:rFonts w:ascii="Dubai" w:hAnsi="Dubai" w:cs="Dubai"/>
          <w:sz w:val="24"/>
          <w:szCs w:val="24"/>
        </w:rPr>
        <w:t xml:space="preserve">, </w:t>
      </w:r>
      <w:r>
        <w:rPr>
          <w:rFonts w:ascii="Dubai" w:hAnsi="Dubai" w:cs="Dubai"/>
          <w:sz w:val="24"/>
          <w:szCs w:val="24"/>
        </w:rPr>
        <w:t xml:space="preserve">up to 3)  </w:t>
      </w:r>
    </w:p>
    <w:p w14:paraId="2DCD18CE" w14:textId="160A204B" w:rsidR="009F6CFA" w:rsidRDefault="009F6CFA" w:rsidP="008B2440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1D8592AC" w14:textId="6C900542" w:rsidR="00B85A5E" w:rsidRDefault="00B85A5E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58418C">
        <w:rPr>
          <w:rFonts w:ascii="Dubai" w:hAnsi="Dubai" w:cs="Dubai"/>
          <w:sz w:val="24"/>
          <w:szCs w:val="24"/>
          <w:highlight w:val="yellow"/>
        </w:rPr>
        <w:t>Example:</w:t>
      </w:r>
    </w:p>
    <w:p w14:paraId="60ED1EE2" w14:textId="77777777" w:rsidR="0058418C" w:rsidRDefault="0058418C" w:rsidP="00B85A5E">
      <w:pPr>
        <w:spacing w:after="0" w:line="240" w:lineRule="auto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/>
          <w:b/>
          <w:bCs/>
          <w:sz w:val="24"/>
          <w:szCs w:val="24"/>
        </w:rPr>
        <w:t>1</w:t>
      </w:r>
    </w:p>
    <w:p w14:paraId="58DFCC2F" w14:textId="7BB73774" w:rsidR="00B85A5E" w:rsidRDefault="0058418C" w:rsidP="0058418C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58418C">
        <w:rPr>
          <w:rFonts w:ascii="Dubai" w:hAnsi="Dubai" w:cs="Dubai"/>
          <w:b/>
          <w:bCs/>
          <w:sz w:val="24"/>
          <w:szCs w:val="24"/>
        </w:rPr>
        <w:t xml:space="preserve">Paper </w:t>
      </w:r>
      <w:r>
        <w:rPr>
          <w:rFonts w:ascii="Dubai" w:hAnsi="Dubai" w:cs="Dubai"/>
          <w:b/>
          <w:bCs/>
          <w:sz w:val="24"/>
          <w:szCs w:val="24"/>
        </w:rPr>
        <w:t xml:space="preserve">Title: </w:t>
      </w:r>
      <w:r w:rsidR="00B85A5E" w:rsidRPr="00B85A5E">
        <w:rPr>
          <w:rFonts w:ascii="Dubai" w:hAnsi="Dubai" w:cs="Dubai"/>
          <w:sz w:val="24"/>
          <w:szCs w:val="24"/>
        </w:rPr>
        <w:t>Associations between Using Noninsulin Blood</w:t>
      </w:r>
      <w:r w:rsidR="00B85A5E">
        <w:rPr>
          <w:rFonts w:ascii="Dubai" w:hAnsi="Dubai" w:cs="Dubai"/>
          <w:sz w:val="24"/>
          <w:szCs w:val="24"/>
        </w:rPr>
        <w:t xml:space="preserve"> </w:t>
      </w:r>
      <w:r w:rsidR="00B85A5E" w:rsidRPr="00B85A5E">
        <w:rPr>
          <w:rFonts w:ascii="Dubai" w:hAnsi="Dubai" w:cs="Dubai"/>
          <w:sz w:val="24"/>
          <w:szCs w:val="24"/>
        </w:rPr>
        <w:t>Glucose Lowering Drugs and Heart Failure:</w:t>
      </w:r>
      <w:r w:rsidR="00B85A5E">
        <w:rPr>
          <w:rFonts w:ascii="Dubai" w:hAnsi="Dubai" w:cs="Dubai"/>
          <w:sz w:val="24"/>
          <w:szCs w:val="24"/>
        </w:rPr>
        <w:t xml:space="preserve"> </w:t>
      </w:r>
      <w:r w:rsidR="00B85A5E" w:rsidRPr="00B85A5E">
        <w:rPr>
          <w:rFonts w:ascii="Dubai" w:hAnsi="Dubai" w:cs="Dubai"/>
          <w:sz w:val="24"/>
          <w:szCs w:val="24"/>
        </w:rPr>
        <w:t>Observations from a Meta-Analysis</w:t>
      </w:r>
      <w:r>
        <w:rPr>
          <w:rFonts w:ascii="Dubai" w:hAnsi="Dubai" w:cs="Dubai"/>
          <w:sz w:val="24"/>
          <w:szCs w:val="24"/>
        </w:rPr>
        <w:t xml:space="preserve">. </w:t>
      </w:r>
    </w:p>
    <w:p w14:paraId="26D0F11E" w14:textId="77777777" w:rsidR="0058418C" w:rsidRPr="00B85A5E" w:rsidRDefault="0058418C" w:rsidP="00B85A5E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57E78B4E" w14:textId="1ED0800A" w:rsidR="00B85A5E" w:rsidRPr="00B85A5E" w:rsidRDefault="00B85A5E" w:rsidP="00B85A5E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B85A5E">
        <w:rPr>
          <w:rFonts w:ascii="Dubai" w:hAnsi="Dubai" w:cs="Dubai"/>
          <w:sz w:val="24"/>
          <w:szCs w:val="24"/>
        </w:rPr>
        <w:t>Nadia Hussain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  <w:vertAlign w:val="superscript"/>
        </w:rPr>
        <w:t>a</w:t>
      </w:r>
      <w:r w:rsidRPr="00B85A5E">
        <w:rPr>
          <w:rFonts w:ascii="Dubai" w:hAnsi="Dubai" w:cs="Dubai"/>
          <w:sz w:val="24"/>
          <w:szCs w:val="24"/>
        </w:rPr>
        <w:t xml:space="preserve">, Amira </w:t>
      </w:r>
      <w:proofErr w:type="spellStart"/>
      <w:r w:rsidRPr="00B85A5E">
        <w:rPr>
          <w:rFonts w:ascii="Dubai" w:hAnsi="Dubai" w:cs="Dubai"/>
          <w:sz w:val="24"/>
          <w:szCs w:val="24"/>
        </w:rPr>
        <w:t>S.</w:t>
      </w:r>
      <w:proofErr w:type="gramStart"/>
      <w:r w:rsidRPr="00B85A5E">
        <w:rPr>
          <w:rFonts w:ascii="Dubai" w:hAnsi="Dubai" w:cs="Dubai"/>
          <w:sz w:val="24"/>
          <w:szCs w:val="24"/>
        </w:rPr>
        <w:t>A.Said</w:t>
      </w:r>
      <w:proofErr w:type="spellEnd"/>
      <w:proofErr w:type="gramEnd"/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  <w:vertAlign w:val="superscript"/>
        </w:rPr>
        <w:t>a</w:t>
      </w:r>
      <w:r w:rsidRPr="00B85A5E">
        <w:rPr>
          <w:rFonts w:ascii="Dubai" w:hAnsi="Dubai" w:cs="Dubai"/>
          <w:sz w:val="24"/>
          <w:szCs w:val="24"/>
        </w:rPr>
        <w:t>, Amal Hussain Ibrahim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Al Haddad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  <w:vertAlign w:val="superscript"/>
        </w:rPr>
        <w:t>b</w:t>
      </w:r>
    </w:p>
    <w:p w14:paraId="7FCFCAB4" w14:textId="77777777" w:rsidR="00B85A5E" w:rsidRDefault="00B85A5E" w:rsidP="00B85A5E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B85A5E">
        <w:rPr>
          <w:rFonts w:ascii="Dubai" w:hAnsi="Dubai" w:cs="Dubai"/>
          <w:sz w:val="24"/>
          <w:szCs w:val="24"/>
          <w:vertAlign w:val="superscript"/>
        </w:rPr>
        <w:t>a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 xml:space="preserve">College of Pharmacy, Al Ain University, Al Ain, Abu </w:t>
      </w:r>
      <w:proofErr w:type="spellStart"/>
      <w:proofErr w:type="gramStart"/>
      <w:r w:rsidRPr="00B85A5E">
        <w:rPr>
          <w:rFonts w:ascii="Dubai" w:hAnsi="Dubai" w:cs="Dubai"/>
          <w:sz w:val="24"/>
          <w:szCs w:val="24"/>
        </w:rPr>
        <w:t>Dhabi,UAE</w:t>
      </w:r>
      <w:proofErr w:type="spellEnd"/>
      <w:proofErr w:type="gramEnd"/>
    </w:p>
    <w:p w14:paraId="409D4072" w14:textId="1F72379C" w:rsidR="00B85A5E" w:rsidRPr="00B85A5E" w:rsidRDefault="00B85A5E" w:rsidP="00B85A5E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B85A5E">
        <w:rPr>
          <w:rFonts w:ascii="Dubai" w:hAnsi="Dubai" w:cs="Dubai"/>
          <w:sz w:val="24"/>
          <w:szCs w:val="24"/>
          <w:vertAlign w:val="superscript"/>
        </w:rPr>
        <w:t>b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Department of Operations, Cambridge Medical and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Rehabilitation, Al Ain, Abu Dhabi, UAE</w:t>
      </w:r>
    </w:p>
    <w:p w14:paraId="611FD770" w14:textId="77777777" w:rsidR="00B85A5E" w:rsidRDefault="00B85A5E" w:rsidP="00B85A5E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7C218B85" w14:textId="08E227C0" w:rsidR="00B85A5E" w:rsidRPr="00B85A5E" w:rsidRDefault="00B85A5E" w:rsidP="00B85A5E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B85A5E">
        <w:rPr>
          <w:rFonts w:ascii="Dubai" w:hAnsi="Dubai" w:cs="Dubai"/>
          <w:b/>
          <w:bCs/>
          <w:sz w:val="24"/>
          <w:szCs w:val="24"/>
        </w:rPr>
        <w:t>Keywords</w:t>
      </w:r>
      <w:r w:rsidRPr="00B85A5E">
        <w:rPr>
          <w:rFonts w:ascii="Dubai" w:hAnsi="Dubai" w:cs="Dubai"/>
          <w:sz w:val="24"/>
          <w:szCs w:val="24"/>
        </w:rPr>
        <w:t>: noninsulin therapy, blood glucose lowering, heart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failure, meta-analysis</w:t>
      </w:r>
    </w:p>
    <w:p w14:paraId="2CB13D23" w14:textId="77777777" w:rsidR="00B85A5E" w:rsidRDefault="00B85A5E" w:rsidP="00B85A5E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1288430F" w14:textId="0D051408" w:rsidR="00B85A5E" w:rsidRPr="00B85A5E" w:rsidRDefault="00B85A5E" w:rsidP="00B85A5E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B85A5E">
        <w:rPr>
          <w:rFonts w:ascii="Dubai" w:hAnsi="Dubai" w:cs="Dubai"/>
          <w:b/>
          <w:bCs/>
          <w:sz w:val="24"/>
          <w:szCs w:val="24"/>
        </w:rPr>
        <w:t>Introduction</w:t>
      </w:r>
      <w:r w:rsidRPr="00B85A5E">
        <w:rPr>
          <w:rFonts w:ascii="Dubai" w:hAnsi="Dubai" w:cs="Dubai"/>
          <w:sz w:val="24"/>
          <w:szCs w:val="24"/>
        </w:rPr>
        <w:t>: Type 2 diabetes mellitus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(T2DM) is the most common type of diabetes with millions being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 xml:space="preserve">affected worldwide. Patients with T2DM are at a high risk of developing heart </w:t>
      </w:r>
      <w:r w:rsidRPr="00B85A5E">
        <w:rPr>
          <w:rFonts w:ascii="Dubai" w:hAnsi="Dubai" w:cs="Dubai"/>
          <w:sz w:val="24"/>
          <w:szCs w:val="24"/>
        </w:rPr>
        <w:lastRenderedPageBreak/>
        <w:t>failure. There is a clear lack of clinical information on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what the effect of glucose lowering drugs is on heart failure. The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 xml:space="preserve">objective of the study was to conduct a meta-analysis of observational studies on the relative risk of heart failure when glucose lowering drugs are used in T2DM individuals. </w:t>
      </w:r>
      <w:r w:rsidRPr="00B85A5E">
        <w:rPr>
          <w:rFonts w:ascii="Dubai" w:hAnsi="Dubai" w:cs="Dubai"/>
          <w:b/>
          <w:bCs/>
          <w:sz w:val="24"/>
          <w:szCs w:val="24"/>
        </w:rPr>
        <w:t>Methods</w:t>
      </w:r>
      <w:r w:rsidRPr="00B85A5E">
        <w:rPr>
          <w:rFonts w:ascii="Dubai" w:hAnsi="Dubai" w:cs="Dubai"/>
          <w:sz w:val="24"/>
          <w:szCs w:val="24"/>
        </w:rPr>
        <w:t>: Cohort and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case-control studies were s</w:t>
      </w:r>
      <w:r>
        <w:rPr>
          <w:rFonts w:ascii="Dubai" w:hAnsi="Dubai" w:cs="Dubai"/>
          <w:sz w:val="24"/>
          <w:szCs w:val="24"/>
        </w:rPr>
        <w:t>y</w:t>
      </w:r>
      <w:r w:rsidRPr="00B85A5E">
        <w:rPr>
          <w:rFonts w:ascii="Dubai" w:hAnsi="Dubai" w:cs="Dubai"/>
          <w:sz w:val="24"/>
          <w:szCs w:val="24"/>
        </w:rPr>
        <w:t>stemically identified and reviewed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with the focus on the use of noninsulin blood glucose-lowering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medications in patients with T2DM. Databases such as Medline,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Embase, and the Cochrane Library were accessed. Publications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that met the eligibility criteria were selected and whittled down.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Results were combined using fixed and random-effects models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with 3 independent data points were available for a drug-drug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comparison. Results: The relative risk of heart failure in individuals on rosiglitazone therapy versus pioglitazone therapy (95% CI)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was 1.26 (1.05-1.29). For individuals who had just started therapy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(n=5), the relative risk was 1.31 (1.14-1.40). Comparing the relative risk of rosiglitazone usage versus metformin usage was 1.36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(95% CI, 1.17-1.59) (n=3). Comparing the summary relative risk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(95% CI) of heart failure in sulfonylureas users versus metformin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 xml:space="preserve">users showed results as 1.17 (95% CI, 1.06-1.29) and 1.22 (1.02-1.46). </w:t>
      </w:r>
      <w:r w:rsidRPr="00B85A5E">
        <w:rPr>
          <w:rFonts w:ascii="Dubai" w:hAnsi="Dubai" w:cs="Dubai"/>
          <w:b/>
          <w:bCs/>
          <w:sz w:val="24"/>
          <w:szCs w:val="24"/>
        </w:rPr>
        <w:t>Discussion</w:t>
      </w:r>
      <w:r w:rsidRPr="00B85A5E">
        <w:rPr>
          <w:rFonts w:ascii="Dubai" w:hAnsi="Dubai" w:cs="Dubai"/>
          <w:sz w:val="24"/>
          <w:szCs w:val="24"/>
        </w:rPr>
        <w:t xml:space="preserve">: This study suggests that using </w:t>
      </w:r>
      <w:proofErr w:type="spellStart"/>
      <w:r w:rsidRPr="00B85A5E">
        <w:rPr>
          <w:rFonts w:ascii="Dubai" w:hAnsi="Dubai" w:cs="Dubai"/>
          <w:sz w:val="24"/>
          <w:szCs w:val="24"/>
        </w:rPr>
        <w:t>glitazones</w:t>
      </w:r>
      <w:proofErr w:type="spellEnd"/>
      <w:r w:rsidRPr="00B85A5E">
        <w:rPr>
          <w:rFonts w:ascii="Dubai" w:hAnsi="Dubai" w:cs="Dubai"/>
          <w:sz w:val="24"/>
          <w:szCs w:val="24"/>
        </w:rPr>
        <w:t xml:space="preserve"> and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sulfonylureas is associated with an increased risk of heart failure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when compared to metformin as the sole agent of treatment. The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limitations of this study included scare information about disease</w:t>
      </w:r>
    </w:p>
    <w:p w14:paraId="4B3FF7CB" w14:textId="3DF9C293" w:rsidR="00B85A5E" w:rsidRPr="00B85A5E" w:rsidRDefault="00B85A5E" w:rsidP="00B85A5E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B85A5E">
        <w:rPr>
          <w:rFonts w:ascii="Dubai" w:hAnsi="Dubai" w:cs="Dubai"/>
          <w:sz w:val="24"/>
          <w:szCs w:val="24"/>
        </w:rPr>
        <w:t xml:space="preserve">severity and a nonuniform approach to dose and treatment duration reporting. </w:t>
      </w:r>
      <w:r w:rsidRPr="00B85A5E">
        <w:rPr>
          <w:rFonts w:ascii="Dubai" w:hAnsi="Dubai" w:cs="Dubai"/>
          <w:b/>
          <w:bCs/>
          <w:sz w:val="24"/>
          <w:szCs w:val="24"/>
        </w:rPr>
        <w:t>Conclusion</w:t>
      </w:r>
      <w:r w:rsidRPr="00B85A5E">
        <w:rPr>
          <w:rFonts w:ascii="Dubai" w:hAnsi="Dubai" w:cs="Dubai"/>
          <w:sz w:val="24"/>
          <w:szCs w:val="24"/>
        </w:rPr>
        <w:t>: Large multi-database studies are</w:t>
      </w:r>
      <w:r>
        <w:rPr>
          <w:rFonts w:ascii="Dubai" w:hAnsi="Dubai" w:cs="Dubai"/>
          <w:sz w:val="24"/>
          <w:szCs w:val="24"/>
        </w:rPr>
        <w:t xml:space="preserve"> </w:t>
      </w:r>
      <w:r w:rsidRPr="00B85A5E">
        <w:rPr>
          <w:rFonts w:ascii="Dubai" w:hAnsi="Dubai" w:cs="Dubai"/>
          <w:sz w:val="24"/>
          <w:szCs w:val="24"/>
        </w:rPr>
        <w:t>required to further evaluate the risk of heart failure in treated</w:t>
      </w:r>
    </w:p>
    <w:p w14:paraId="6C269C13" w14:textId="70121470" w:rsidR="00B85A5E" w:rsidRPr="009F6CFA" w:rsidRDefault="00B85A5E" w:rsidP="00B85A5E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B85A5E">
        <w:rPr>
          <w:rFonts w:ascii="Dubai" w:hAnsi="Dubai" w:cs="Dubai"/>
          <w:sz w:val="24"/>
          <w:szCs w:val="24"/>
        </w:rPr>
        <w:t xml:space="preserve">patients with diabetes, including those using newer </w:t>
      </w:r>
      <w:proofErr w:type="spellStart"/>
      <w:r w:rsidRPr="00B85A5E">
        <w:rPr>
          <w:rFonts w:ascii="Dubai" w:hAnsi="Dubai" w:cs="Dubai"/>
          <w:sz w:val="24"/>
          <w:szCs w:val="24"/>
        </w:rPr>
        <w:t>glycaemic</w:t>
      </w:r>
      <w:proofErr w:type="spellEnd"/>
      <w:r w:rsidRPr="00B85A5E">
        <w:rPr>
          <w:rFonts w:ascii="Dubai" w:hAnsi="Dubai" w:cs="Dubai"/>
          <w:sz w:val="24"/>
          <w:szCs w:val="24"/>
        </w:rPr>
        <w:t xml:space="preserve"> control therapies</w:t>
      </w:r>
    </w:p>
    <w:sectPr w:rsidR="00B85A5E" w:rsidRPr="009F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53FA5" w14:textId="77777777" w:rsidR="00D41AA6" w:rsidRDefault="00D41AA6" w:rsidP="00A0406A">
      <w:pPr>
        <w:spacing w:after="0" w:line="240" w:lineRule="auto"/>
      </w:pPr>
      <w:r>
        <w:separator/>
      </w:r>
    </w:p>
  </w:endnote>
  <w:endnote w:type="continuationSeparator" w:id="0">
    <w:p w14:paraId="7E625FCA" w14:textId="77777777" w:rsidR="00D41AA6" w:rsidRDefault="00D41AA6" w:rsidP="00A0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FD0A0" w14:textId="77777777" w:rsidR="00D41AA6" w:rsidRDefault="00D41AA6" w:rsidP="00A0406A">
      <w:pPr>
        <w:spacing w:after="0" w:line="240" w:lineRule="auto"/>
      </w:pPr>
      <w:r>
        <w:separator/>
      </w:r>
    </w:p>
  </w:footnote>
  <w:footnote w:type="continuationSeparator" w:id="0">
    <w:p w14:paraId="1E253A30" w14:textId="77777777" w:rsidR="00D41AA6" w:rsidRDefault="00D41AA6" w:rsidP="00A04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5D"/>
    <w:rsid w:val="0011232F"/>
    <w:rsid w:val="00154AA3"/>
    <w:rsid w:val="0029110C"/>
    <w:rsid w:val="003C273E"/>
    <w:rsid w:val="003F64FA"/>
    <w:rsid w:val="0040545D"/>
    <w:rsid w:val="0058418C"/>
    <w:rsid w:val="00790C61"/>
    <w:rsid w:val="007B58B9"/>
    <w:rsid w:val="00814831"/>
    <w:rsid w:val="008B2440"/>
    <w:rsid w:val="008E35EB"/>
    <w:rsid w:val="00966087"/>
    <w:rsid w:val="009B4EB8"/>
    <w:rsid w:val="009F6CFA"/>
    <w:rsid w:val="00A0406A"/>
    <w:rsid w:val="00B85A5E"/>
    <w:rsid w:val="00C90577"/>
    <w:rsid w:val="00D41AA6"/>
    <w:rsid w:val="00F224ED"/>
    <w:rsid w:val="00F22AA2"/>
    <w:rsid w:val="00F34AB6"/>
    <w:rsid w:val="00F70AF5"/>
    <w:rsid w:val="00F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3FB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6A"/>
  </w:style>
  <w:style w:type="paragraph" w:styleId="Footer">
    <w:name w:val="footer"/>
    <w:basedOn w:val="Normal"/>
    <w:link w:val="FooterChar"/>
    <w:uiPriority w:val="99"/>
    <w:unhideWhenUsed/>
    <w:rsid w:val="00A0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6A"/>
  </w:style>
  <w:style w:type="character" w:styleId="IntenseEmphasis">
    <w:name w:val="Intense Emphasis"/>
    <w:basedOn w:val="DefaultParagraphFont"/>
    <w:uiPriority w:val="21"/>
    <w:qFormat/>
    <w:rsid w:val="00F224E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2024-05-17T03:57:00Z</dcterms:created>
  <dcterms:modified xsi:type="dcterms:W3CDTF">2024-07-08T17:19:00Z</dcterms:modified>
</cp:coreProperties>
</file>